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120" w:after="14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MISSION 02 / FIELD</w:t>
      </w:r>
    </w:p>
    <w:p>
      <w:pPr>
        <w:keepNext/>
        <w:spacing w:before="0" w:after="120" w:line="240" w:lineRule="auto"/>
      </w:pPr>
      <w:r>
        <w:rPr>
          <w:rFonts w:ascii="Arial" w:hAnsi="Arial"/>
          <w:b/>
          <w:i w:val="0"/>
          <w:color w:val="111216"/>
          <w:sz w:val="50"/>
        </w:rPr>
        <w:t>Engagement reframe record</w:t>
      </w:r>
    </w:p>
    <w:p>
      <w:pPr>
        <w:keepNext/>
        <w:spacing w:before="0" w:after="220" w:line="293" w:lineRule="auto"/>
      </w:pPr>
      <w:r>
        <w:rPr>
          <w:rFonts w:ascii="Arial" w:hAnsi="Arial"/>
          <w:b w:val="0"/>
          <w:i w:val="0"/>
          <w:color w:val="625F59"/>
          <w:sz w:val="23"/>
        </w:rPr>
        <w:t>Use when field evidence materially contradicts an inherited brief. Preserve the inherited commitment and propose a bounded, reviewable change.</w:t>
      </w:r>
    </w:p>
    <w:p>
      <w:pPr>
        <w:keepNext w:val="0"/>
        <w:spacing w:before="0" w:after="200" w:line="240" w:lineRule="auto"/>
        <w:pBdr>
          <w:bottom w:val="single" w:sz="14" w:space="1" w:color="244CFF"/>
        </w:pBdr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80"/>
        <w:gridCol w:w="8900"/>
      </w:tblGrid>
      <w:tr>
        <w:tc>
          <w:tcPr>
            <w:tcW w:type="dxa" w:w="11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244CFF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FFFFFF"/>
                <w:sz w:val="16"/>
              </w:rPr>
              <w:t>RULE</w:t>
            </w:r>
          </w:p>
        </w:tc>
        <w:tc>
          <w:tcPr>
            <w:tcW w:type="dxa" w:w="8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A proposal is not a disposition. Do not mutate downstream work until a named actor has direct or explicitly delegated authority for the scoped decision.</w:t>
            </w:r>
          </w:p>
        </w:tc>
      </w:tr>
    </w:tbl>
    <w:p>
      <w:pPr>
        <w:spacing w:after="4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Inherited engagement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Evidence mode and limitation: </w:t>
      </w:r>
      <w:r>
        <w:rPr>
          <w:rFonts w:ascii="Arial" w:hAnsi="Arial"/>
          <w:b w:val="0"/>
          <w:i/>
          <w:color w:val="625F59"/>
          <w:sz w:val="19"/>
        </w:rPr>
        <w:t>Synthetic work cannot prove a customer disposition or authority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Engagement and workflow: </w:t>
      </w:r>
      <w:r>
        <w:rPr>
          <w:rFonts w:ascii="Arial" w:hAnsi="Arial"/>
          <w:b w:val="0"/>
          <w:i/>
          <w:color w:val="625F59"/>
          <w:sz w:val="19"/>
        </w:rPr>
        <w:t>Customer-safe context and current delivery boundary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Original commitment: </w:t>
      </w:r>
      <w:r>
        <w:rPr>
          <w:rFonts w:ascii="Arial" w:hAnsi="Arial"/>
          <w:b w:val="0"/>
          <w:i/>
          <w:color w:val="625F59"/>
          <w:sz w:val="19"/>
        </w:rPr>
        <w:t>Quote it exactly; record source, revision, date, and passage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Dependent outputs: </w:t>
      </w:r>
      <w:r>
        <w:rPr>
          <w:rFonts w:ascii="Arial" w:hAnsi="Arial"/>
          <w:b w:val="0"/>
          <w:i/>
          <w:color w:val="625F59"/>
          <w:sz w:val="19"/>
        </w:rPr>
        <w:t>What currently relies on this commitment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Material contradiction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Contested claim: </w:t>
      </w:r>
      <w:r>
        <w:rPr>
          <w:rFonts w:ascii="Arial" w:hAnsi="Arial"/>
          <w:b w:val="0"/>
          <w:i/>
          <w:color w:val="625F59"/>
          <w:sz w:val="19"/>
        </w:rPr>
        <w:t>State the inherited claim and contesting evidence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Contesting evidence: </w:t>
      </w:r>
      <w:r>
        <w:rPr>
          <w:rFonts w:ascii="Arial" w:hAnsi="Arial"/>
          <w:b w:val="0"/>
          <w:i/>
          <w:color w:val="625F59"/>
          <w:sz w:val="19"/>
        </w:rPr>
        <w:t>Exact passage, digest/revision, evidence basis, applicability, and limitation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Why this matters: </w:t>
      </w:r>
      <w:r>
        <w:rPr>
          <w:rFonts w:ascii="Arial" w:hAnsi="Arial"/>
          <w:b w:val="0"/>
          <w:i/>
          <w:color w:val="625F59"/>
          <w:sz w:val="19"/>
        </w:rPr>
        <w:t>Scope, authority, evaluation, economics, or acceptance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PROPOSAL AND AUTHORITY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Typed proposal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Proposed reframe: </w:t>
      </w:r>
      <w:r>
        <w:rPr>
          <w:rFonts w:ascii="Arial" w:hAnsi="Arial"/>
          <w:b w:val="0"/>
          <w:i/>
          <w:color w:val="625F59"/>
          <w:sz w:val="19"/>
        </w:rPr>
        <w:t>The smallest safe revision of the boundary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Included boundary</w:t>
            </w:r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Explicit exclusions</w:t>
            </w:r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Safe fallback while open</w:t>
            </w:r>
          </w:p>
        </w:tc>
      </w:tr>
      <w:tr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Affected outputs: </w:t>
      </w:r>
      <w:r>
        <w:rPr>
          <w:rFonts w:ascii="Arial" w:hAnsi="Arial"/>
          <w:b w:val="0"/>
          <w:i/>
          <w:color w:val="625F59"/>
          <w:sz w:val="19"/>
        </w:rPr>
        <w:t>Only dependency-linked work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Unaffected outputs: </w:t>
      </w:r>
      <w:r>
        <w:rPr>
          <w:rFonts w:ascii="Arial" w:hAnsi="Arial"/>
          <w:b w:val="0"/>
          <w:i/>
          <w:color w:val="625F59"/>
          <w:sz w:val="19"/>
        </w:rPr>
        <w:t>What must remain current and unchanged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Staleness trigger: </w:t>
      </w:r>
      <w:r>
        <w:rPr>
          <w:rFonts w:ascii="Arial" w:hAnsi="Arial"/>
          <w:b w:val="0"/>
          <w:i/>
          <w:color w:val="625F59"/>
          <w:sz w:val="19"/>
        </w:rPr>
        <w:t>Evidence or event that makes this proposal stale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Scoped disposition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20"/>
        <w:gridCol w:w="1980"/>
        <w:gridCol w:w="2400"/>
        <w:gridCol w:w="2060"/>
        <w:gridCol w:w="1720"/>
      </w:tblGrid>
      <w:tr>
        <w:trPr>
          <w:tblHeader w:val="true"/>
        </w:trPr>
        <w:tc>
          <w:tcPr>
            <w:tcW w:type="dxa" w:w="19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Decision</w:t>
            </w:r>
          </w:p>
        </w:tc>
        <w:tc>
          <w:tcPr>
            <w:tcW w:type="dxa" w:w="19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Named actor</w:t>
            </w:r>
          </w:p>
        </w:tc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Authority basis</w:t>
            </w:r>
          </w:p>
        </w:tc>
        <w:tc>
          <w:tcPr>
            <w:tcW w:type="dxa" w:w="2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Scope</w:t>
            </w:r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Date / revision</w:t>
            </w:r>
          </w:p>
        </w:tc>
      </w:tr>
      <w:tr>
        <w:tc>
          <w:tcPr>
            <w:tcW w:type="dxa" w:w="19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continue discovery / bounded kickoff / defer / stop</w:t>
            </w:r>
          </w:p>
        </w:tc>
        <w:tc>
          <w:tcPr>
            <w:tcW w:type="dxa" w:w="19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direct or delegated</w:t>
            </w:r>
          </w:p>
        </w:tc>
        <w:tc>
          <w:tcPr>
            <w:tcW w:type="dxa" w:w="2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9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Exact supporting source and limitation: </w:t>
      </w:r>
      <w:r>
        <w:rPr>
          <w:rFonts w:ascii="Arial" w:hAnsi="Arial"/>
          <w:b w:val="0"/>
          <w:i/>
          <w:color w:val="625F59"/>
          <w:sz w:val="19"/>
        </w:rPr>
        <w:t>No source or contested basis means no recorded disposition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PRESERVE CURRENTNESS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Selective propagation</w:t>
      </w:r>
    </w:p>
    <w:p>
      <w:pPr>
        <w:keepNext w:val="0"/>
        <w:spacing w:before="0" w:after="120" w:line="300" w:lineRule="auto"/>
      </w:pPr>
      <w:r>
        <w:rPr>
          <w:rFonts w:ascii="Arial" w:hAnsi="Arial"/>
          <w:b w:val="0"/>
          <w:i w:val="0"/>
          <w:color w:val="625F59"/>
          <w:sz w:val="21"/>
        </w:rPr>
        <w:t>Acceptance changes only dependent objects. Rejection or deferral changes no downstream state. Preserve chronology in every case.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80"/>
        <w:gridCol w:w="1660"/>
        <w:gridCol w:w="2300"/>
        <w:gridCol w:w="1740"/>
        <w:gridCol w:w="2100"/>
      </w:tblGrid>
      <w:tr>
        <w:trPr>
          <w:tblHeader w:val="true"/>
        </w:trPr>
        <w:tc>
          <w:tcPr>
            <w:tcW w:type="dxa" w:w="22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Dependent object</w:t>
            </w:r>
          </w:p>
        </w:tc>
        <w:tc>
          <w:tcPr>
            <w:tcW w:type="dxa" w:w="1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Before revision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Required change</w:t>
            </w:r>
          </w:p>
        </w:tc>
        <w:tc>
          <w:tcPr>
            <w:tcW w:type="dxa" w:w="17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Currentness after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Why</w:t>
            </w:r>
          </w:p>
        </w:tc>
      </w:tr>
      <w:tr>
        <w:tc>
          <w:tcPr>
            <w:tcW w:type="dxa" w:w="22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2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2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2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2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Chronology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80"/>
        <w:gridCol w:w="1730"/>
        <w:gridCol w:w="2690"/>
        <w:gridCol w:w="1520"/>
        <w:gridCol w:w="1760"/>
      </w:tblGrid>
      <w:tr>
        <w:trPr>
          <w:tblHeader w:val="true"/>
        </w:trPr>
        <w:tc>
          <w:tcPr>
            <w:tcW w:type="dxa" w:w="2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Event</w:t>
            </w:r>
          </w:p>
        </w:tc>
        <w:tc>
          <w:tcPr>
            <w:tcW w:type="dxa" w:w="17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Date / revision</w:t>
            </w:r>
          </w:p>
        </w:tc>
        <w:tc>
          <w:tcPr>
            <w:tcW w:type="dxa" w:w="26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Source or evidence</w:t>
            </w:r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Owner</w:t>
            </w:r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Effect on currentness</w:t>
            </w:r>
          </w:p>
        </w:tc>
      </w:tr>
      <w:tr>
        <w:tc>
          <w:tcPr>
            <w:tcW w:type="dxa" w:w="2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pStyle w:val="Heading2"/>
        <w:keepNext/>
        <w:pageBreakBefore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Review gate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40"/>
        <w:gridCol w:w="9640"/>
      </w:tblGrid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The inherited claim and both bounded sides of the conflict are cited.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The safe fallback does not require the disputed authority.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Rejection or deferral causes no downstream mutation.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Acceptance updates only dependency-linked objects and preserves prior revisions.</w:t>
            </w:r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Reviewer, material limitation, and next field move: </w:t>
      </w:r>
      <w:r>
        <w:rPr>
          <w:rFonts w:ascii="Arial" w:hAnsi="Arial"/>
          <w:b w:val="0"/>
          <w:i/>
          <w:color w:val="625F59"/>
          <w:sz w:val="19"/>
        </w:rPr>
        <w:t>Keep unresolved authority or evidence visible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Review record and date: </w:t>
      </w:r>
      <w:r>
        <w:rPr>
          <w:rFonts w:ascii="Arial" w:hAnsi="Arial"/>
          <w:b w:val="0"/>
          <w:i/>
          <w:color w:val="625F59"/>
          <w:sz w:val="19"/>
        </w:rPr>
        <w:t>Where the disposition or follow-up is recorded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18" w:footer="5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7560"/>
      <w:gridCol w:w="2520"/>
    </w:tblGrid>
    <w:tr>
      <w:tc>
        <w:tcPr>
          <w:tcW w:type="dxa" w:w="756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Lumyn FDE School  |  Fieldwork first. Systems second. Evidence throughout.</w:t>
          </w:r>
        </w:p>
      </w:tc>
      <w:tc>
        <w:tcPr>
          <w:tcW w:type="dxa" w:w="252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Not a certification or approval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1780"/>
      <w:gridCol w:w="8300"/>
    </w:tblGrid>
    <w:tr>
      <w:tc>
        <w:tcPr>
          <w:tcW w:type="dxa" w:w="178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244CFF"/>
        </w:tcPr>
        <w:p>
          <w:pPr>
            <w:keepNext w:val="0"/>
            <w:spacing w:before="0" w:after="0" w:line="240" w:lineRule="auto"/>
            <w:jc w:val="center"/>
          </w:pPr>
          <w:r/>
          <w:r>
            <w:rPr>
              <w:rFonts w:ascii="Arial" w:hAnsi="Arial"/>
              <w:b/>
              <w:i w:val="0"/>
              <w:color w:val="FFFFFF"/>
              <w:sz w:val="24"/>
            </w:rPr>
            <w:t>L</w:t>
          </w:r>
        </w:p>
      </w:tc>
      <w:tc>
        <w:tcPr>
          <w:tcW w:type="dxa" w:w="830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FAFAF7"/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Courier New" w:hAnsi="Courier New"/>
              <w:b/>
              <w:i w:val="0"/>
              <w:color w:val="625F59"/>
              <w:sz w:val="17"/>
            </w:rPr>
            <w:t>LUMYN FDE SCHOOL  /  WORKING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11121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reframe record</dc:title>
  <dc:subject>Source-linked conflict and disposition workbook</dc:subject>
  <dc:creator>Lumyn FDE School</dc:creator>
  <cp:keywords>FDE, applied AI, fieldwork, evidence, delivery</cp:keywords>
  <dc:description>Editable learner workbook. Not a certification, customer approval, or production release.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