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120" w:after="14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CONNECTED FIELD PRACTICE</w:t>
      </w:r>
    </w:p>
    <w:p>
      <w:pPr>
        <w:keepNext/>
        <w:spacing w:before="0" w:after="120" w:line="240" w:lineRule="auto"/>
      </w:pPr>
      <w:r>
        <w:rPr>
          <w:rFonts w:ascii="Arial" w:hAnsi="Arial"/>
          <w:b/>
          <w:i w:val="0"/>
          <w:color w:val="111216"/>
          <w:sz w:val="50"/>
        </w:rPr>
        <w:t>Lumyn FDE School Field Capstone</w:t>
      </w:r>
    </w:p>
    <w:p>
      <w:pPr>
        <w:keepNext/>
        <w:spacing w:before="0" w:after="220" w:line="293" w:lineRule="auto"/>
      </w:pPr>
      <w:r>
        <w:rPr>
          <w:rFonts w:ascii="Arial" w:hAnsi="Arial"/>
          <w:b w:val="0"/>
          <w:i w:val="0"/>
          <w:color w:val="625F59"/>
          <w:sz w:val="23"/>
        </w:rPr>
        <w:t>A reusable workbook for taking one inherited brief through field discovery, bounded delivery, and exercised ownership.</w:t>
      </w:r>
    </w:p>
    <w:p>
      <w:pPr>
        <w:keepNext w:val="0"/>
        <w:spacing w:before="0" w:after="200" w:line="240" w:lineRule="auto"/>
        <w:pBdr>
          <w:bottom w:val="single" w:sz="14" w:space="1" w:color="244CFF"/>
        </w:pBdr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80"/>
        <w:gridCol w:w="8900"/>
      </w:tblGrid>
      <w:tr>
        <w:tc>
          <w:tcPr>
            <w:tcW w:type="dxa" w:w="11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244CFF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FFFFFF"/>
                <w:sz w:val="16"/>
              </w:rPr>
              <w:t>USE</w:t>
            </w:r>
          </w:p>
        </w:tc>
        <w:tc>
          <w:tcPr>
            <w:tcW w:type="dxa" w:w="8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Choose one live, sanitized, or synthetic case. Preserve revisions and limitations. This workbook connects the ten mission artifacts; it is not a separate source of truth.</w:t>
            </w:r>
          </w:p>
        </w:tc>
      </w:tr>
    </w:tbl>
    <w:p>
      <w:pPr>
        <w:spacing w:after="4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Start with one bounded case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Customer-safe case name: </w:t>
      </w:r>
      <w:r>
        <w:rPr>
          <w:rFonts w:ascii="Arial" w:hAnsi="Arial"/>
          <w:b w:val="0"/>
          <w:i/>
          <w:color w:val="625F59"/>
          <w:sz w:val="19"/>
        </w:rPr>
        <w:t>Use a name that does not expose restricted context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Inherited promise: </w:t>
      </w:r>
      <w:r>
        <w:rPr>
          <w:rFonts w:ascii="Arial" w:hAnsi="Arial"/>
          <w:b w:val="0"/>
          <w:i/>
          <w:color w:val="625F59"/>
          <w:sz w:val="19"/>
        </w:rPr>
        <w:t>Quote or summarize the brief and source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Decision event and deadline: </w:t>
      </w:r>
      <w:r>
        <w:rPr>
          <w:rFonts w:ascii="Arial" w:hAnsi="Arial"/>
          <w:b w:val="0"/>
          <w:i/>
          <w:color w:val="625F59"/>
          <w:sz w:val="19"/>
        </w:rPr>
        <w:t>Funding, continuation, acceptance, renewal, reshape, or stop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Evidence mode and limitations: </w:t>
      </w:r>
      <w:r>
        <w:rPr>
          <w:rFonts w:ascii="Arial" w:hAnsi="Arial"/>
          <w:b w:val="0"/>
          <w:i/>
          <w:color w:val="625F59"/>
          <w:sz w:val="19"/>
        </w:rPr>
        <w:t>Live field evidence, sanitized retrospective, or synthetic practice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How to work through the capstone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40"/>
        <w:gridCol w:w="9440"/>
      </w:tblGrid>
      <w:tr>
        <w:tc>
          <w:tcPr>
            <w:tcW w:type="dxa" w:w="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8"/>
              </w:rPr>
              <w:t>01</w:t>
            </w:r>
          </w:p>
        </w:tc>
        <w:tc>
          <w:tcPr>
            <w:tcW w:type="dxa" w:w="9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" w:line="283" w:lineRule="auto"/>
            </w:pPr>
            <w:r/>
            <w:r>
              <w:rPr>
                <w:rFonts w:ascii="Arial" w:hAnsi="Arial"/>
                <w:b/>
                <w:i w:val="0"/>
                <w:color w:val="111216"/>
                <w:sz w:val="20"/>
              </w:rPr>
              <w:t>Correct the story</w:t>
            </w:r>
          </w:p>
          <w:p>
            <w:pPr>
              <w:keepNext w:val="0"/>
              <w:spacing w:before="0" w:after="0" w:line="283" w:lineRule="auto"/>
            </w:pPr>
            <w:r>
              <w:rPr>
                <w:rFonts w:ascii="Arial" w:hAnsi="Arial"/>
                <w:b w:val="0"/>
                <w:i w:val="0"/>
                <w:color w:val="625F59"/>
                <w:sz w:val="19"/>
              </w:rPr>
              <w:t>Observe one representative case, preserve the inherited brief, and surface one material conflict.</w:t>
            </w:r>
          </w:p>
        </w:tc>
      </w:tr>
    </w:tbl>
    <w:p>
      <w:pPr>
        <w:spacing w:after="2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40"/>
        <w:gridCol w:w="9440"/>
      </w:tblGrid>
      <w:tr>
        <w:tc>
          <w:tcPr>
            <w:tcW w:type="dxa" w:w="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8"/>
              </w:rPr>
              <w:t>02</w:t>
            </w:r>
          </w:p>
        </w:tc>
        <w:tc>
          <w:tcPr>
            <w:tcW w:type="dxa" w:w="9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" w:line="283" w:lineRule="auto"/>
            </w:pPr>
            <w:r/>
            <w:r>
              <w:rPr>
                <w:rFonts w:ascii="Arial" w:hAnsi="Arial"/>
                <w:b/>
                <w:i w:val="0"/>
                <w:color w:val="111216"/>
                <w:sz w:val="20"/>
              </w:rPr>
              <w:t>Prove the slice</w:t>
            </w:r>
          </w:p>
          <w:p>
            <w:pPr>
              <w:keepNext w:val="0"/>
              <w:spacing w:before="0" w:after="0" w:line="283" w:lineRule="auto"/>
            </w:pPr>
            <w:r>
              <w:rPr>
                <w:rFonts w:ascii="Arial" w:hAnsi="Arial"/>
                <w:b w:val="0"/>
                <w:i w:val="0"/>
                <w:color w:val="625F59"/>
                <w:sz w:val="19"/>
              </w:rPr>
              <w:t>Select the smallest sufficient mechanism, test the boundary, and bind release evidence to the exact candidate.</w:t>
            </w:r>
          </w:p>
        </w:tc>
      </w:tr>
    </w:tbl>
    <w:p>
      <w:pPr>
        <w:spacing w:after="2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40"/>
        <w:gridCol w:w="9440"/>
      </w:tblGrid>
      <w:tr>
        <w:tc>
          <w:tcPr>
            <w:tcW w:type="dxa" w:w="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EEF1FF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8"/>
              </w:rPr>
              <w:t>03</w:t>
            </w:r>
          </w:p>
        </w:tc>
        <w:tc>
          <w:tcPr>
            <w:tcW w:type="dxa" w:w="9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" w:line="283" w:lineRule="auto"/>
            </w:pPr>
            <w:r/>
            <w:r>
              <w:rPr>
                <w:rFonts w:ascii="Arial" w:hAnsi="Arial"/>
                <w:b/>
                <w:i w:val="0"/>
                <w:color w:val="111216"/>
                <w:sz w:val="20"/>
              </w:rPr>
              <w:t>Prove ownership</w:t>
            </w:r>
          </w:p>
          <w:p>
            <w:pPr>
              <w:keepNext w:val="0"/>
              <w:spacing w:before="0" w:after="0" w:line="283" w:lineRule="auto"/>
            </w:pPr>
            <w:r>
              <w:rPr>
                <w:rFonts w:ascii="Arial" w:hAnsi="Arial"/>
                <w:b w:val="0"/>
                <w:i w:val="0"/>
                <w:color w:val="625F59"/>
                <w:sz w:val="19"/>
              </w:rPr>
              <w:t>Review operation, exercise recovery and change, then transfer the capability without hidden dependency.</w:t>
            </w:r>
          </w:p>
        </w:tc>
      </w:tr>
    </w:tbl>
    <w:p>
      <w:pPr>
        <w:spacing w:after="2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180"/>
        <w:gridCol w:w="8900"/>
      </w:tblGrid>
      <w:tr>
        <w:tc>
          <w:tcPr>
            <w:tcW w:type="dxa" w:w="11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REVIEW</w:t>
            </w:r>
          </w:p>
        </w:tc>
        <w:tc>
          <w:tcPr>
            <w:tcW w:type="dxa" w:w="8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A reviewer should be able to distinguish what was sold, observed, tested, allowed, asserted, contested, and still unknown.</w:t>
            </w:r>
          </w:p>
        </w:tc>
      </w:tr>
    </w:tbl>
    <w:p>
      <w:pPr>
        <w:spacing w:after="40"/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PHASE 01 / FIELD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Correct the story</w:t>
      </w:r>
    </w:p>
    <w:p>
      <w:pPr>
        <w:keepNext w:val="0"/>
        <w:spacing w:before="0" w:after="160" w:line="300" w:lineRule="auto"/>
      </w:pPr>
      <w:r>
        <w:rPr>
          <w:rFonts w:ascii="Arial" w:hAnsi="Arial"/>
          <w:b w:val="0"/>
          <w:i w:val="0"/>
          <w:color w:val="625F59"/>
          <w:sz w:val="21"/>
        </w:rPr>
        <w:t>Use the first three missions to establish a defensible boundary before selecting a mechanism or promising a build.</w:t>
      </w: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Living artifact registry</w:t>
      </w:r>
    </w:p>
    <w:p>
      <w:pPr>
        <w:keepNext w:val="0"/>
        <w:spacing w:before="0" w:after="100" w:line="300" w:lineRule="auto"/>
      </w:pPr>
      <w:r>
        <w:rPr>
          <w:rFonts w:ascii="Arial" w:hAnsi="Arial"/>
          <w:b w:val="0"/>
          <w:i w:val="0"/>
          <w:color w:val="625F59"/>
          <w:sz w:val="19"/>
        </w:rPr>
        <w:t>Assign stable IDs and add revisions instead of overwriting history.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20"/>
        <w:gridCol w:w="1880"/>
        <w:gridCol w:w="2140"/>
        <w:gridCol w:w="1900"/>
        <w:gridCol w:w="2640"/>
      </w:tblGrid>
      <w:tr>
        <w:trPr>
          <w:tblHeader w:val="true"/>
        </w:trPr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Artifact ID</w:t>
            </w:r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Type</w:t>
            </w:r>
          </w:p>
        </w:tc>
        <w:tc>
          <w:tcPr>
            <w:tcW w:type="dxa" w:w="2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Revision / digest</w:t>
            </w:r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Currentness</w:t>
            </w:r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Source dependencies</w:t>
            </w:r>
          </w:p>
        </w:tc>
      </w:tr>
      <w:tr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1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9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Typed dependency register</w:t>
      </w:r>
    </w:p>
    <w:p>
      <w:pPr>
        <w:keepNext w:val="0"/>
        <w:spacing w:before="0" w:after="100" w:line="300" w:lineRule="auto"/>
      </w:pPr>
      <w:r>
        <w:rPr>
          <w:rFonts w:ascii="Arial" w:hAnsi="Arial"/>
          <w:b w:val="0"/>
          <w:i w:val="0"/>
          <w:color w:val="625F59"/>
          <w:sz w:val="19"/>
        </w:rPr>
        <w:t>Relationships route change review. They do not grant authority or prove completion.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40"/>
        <w:gridCol w:w="1720"/>
        <w:gridCol w:w="2640"/>
        <w:gridCol w:w="3080"/>
      </w:tblGrid>
      <w:tr>
        <w:trPr>
          <w:tblHeader w:val="true"/>
        </w:trPr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From object / revision</w:t>
            </w:r>
          </w:p>
        </w:tc>
        <w:tc>
          <w:tcPr>
            <w:tcW w:type="dxa" w:w="1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Relationship</w:t>
            </w:r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To object / revision</w:t>
            </w:r>
          </w:p>
        </w:tc>
        <w:tc>
          <w:tcPr>
            <w:tcW w:type="dxa" w:w="3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Change consequence</w:t>
            </w:r>
          </w:p>
        </w:tc>
      </w:tr>
      <w:tr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1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0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EVIDENCE AND CONFLICT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Field evidence and conflict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Representative case: </w:t>
      </w:r>
      <w:r>
        <w:rPr>
          <w:rFonts w:ascii="Arial" w:hAnsi="Arial"/>
          <w:b w:val="0"/>
          <w:i/>
          <w:color w:val="625F59"/>
          <w:sz w:val="19"/>
        </w:rPr>
        <w:t>Identity, date, scope, owner, exact passage, and limitation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Material contradiction: </w:t>
      </w:r>
      <w:r>
        <w:rPr>
          <w:rFonts w:ascii="Arial" w:hAnsi="Arial"/>
          <w:b w:val="0"/>
          <w:i/>
          <w:color w:val="625F59"/>
          <w:sz w:val="19"/>
        </w:rPr>
        <w:t>State both bounded claims, evidence classes, and what changes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Safe fallback and next field move: </w:t>
      </w:r>
      <w:r>
        <w:rPr>
          <w:rFonts w:ascii="Arial" w:hAnsi="Arial"/>
          <w:b w:val="0"/>
          <w:i/>
          <w:color w:val="625F59"/>
          <w:sz w:val="19"/>
        </w:rPr>
        <w:t>Keep it within known authority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CURRENT PROJECTION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Current Outcome Contract</w:t>
      </w:r>
    </w:p>
    <w:p>
      <w:pPr>
        <w:keepNext w:val="0"/>
        <w:spacing w:before="0" w:after="200" w:line="300" w:lineRule="auto"/>
      </w:pPr>
      <w:r>
        <w:rPr>
          <w:rFonts w:ascii="Arial" w:hAnsi="Arial"/>
          <w:b w:val="0"/>
          <w:i w:val="0"/>
          <w:color w:val="625F59"/>
          <w:sz w:val="21"/>
        </w:rPr>
        <w:t>This is a current projection from the registry and evidence. Do not independently maintain it or label it accepted without a current, scoped human disposition.</w:t>
      </w: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Outcome statement: </w:t>
      </w:r>
      <w:r>
        <w:rPr>
          <w:rFonts w:ascii="Arial" w:hAnsi="Arial"/>
          <w:b w:val="0"/>
          <w:i/>
          <w:color w:val="625F59"/>
          <w:sz w:val="19"/>
        </w:rPr>
        <w:t>What changes for whom, within an eligible workflow and explicit exclusions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Outcome status and authority basis: </w:t>
      </w:r>
      <w:r>
        <w:rPr>
          <w:rFonts w:ascii="Arial" w:hAnsi="Arial"/>
          <w:b w:val="0"/>
          <w:i/>
          <w:color w:val="625F59"/>
          <w:sz w:val="19"/>
        </w:rPr>
        <w:t>Draft / proposed / accepted; cite authority or record explicit unknown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Baseline, target, and measurement window: </w:t>
      </w:r>
      <w:r>
        <w:rPr>
          <w:rFonts w:ascii="Arial" w:hAnsi="Arial"/>
          <w:b w:val="0"/>
          <w:i/>
          <w:color w:val="625F59"/>
          <w:sz w:val="19"/>
        </w:rPr>
        <w:t>Include attribution limits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Economic exposure, full cost basis, and decision threshold: </w:t>
      </w:r>
      <w:r>
        <w:rPr>
          <w:rFonts w:ascii="Arial" w:hAnsi="Arial"/>
          <w:b w:val="0"/>
          <w:i/>
          <w:color w:val="625F59"/>
          <w:sz w:val="19"/>
        </w:rPr>
        <w:t>Include human review and exceptions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Metric owner and independent verifier: </w:t>
      </w:r>
      <w:r>
        <w:rPr>
          <w:rFonts w:ascii="Arial" w:hAnsi="Arial"/>
          <w:b w:val="0"/>
          <w:i/>
          <w:color w:val="625F59"/>
          <w:sz w:val="19"/>
        </w:rPr>
        <w:t>Do not infer either role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Operating owner, transfer condition, and next review: </w:t>
      </w:r>
      <w:r>
        <w:rPr>
          <w:rFonts w:ascii="Arial" w:hAnsi="Arial"/>
          <w:b w:val="0"/>
          <w:i/>
          <w:color w:val="625F59"/>
          <w:sz w:val="19"/>
        </w:rPr>
        <w:t>This is not proof of production handoff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Four constraint gates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50"/>
        <w:gridCol w:w="1520"/>
        <w:gridCol w:w="3750"/>
        <w:gridCol w:w="3160"/>
      </w:tblGrid>
      <w:tr>
        <w:trPr>
          <w:tblHeader w:val="true"/>
        </w:trP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Dimension</w:t>
            </w:r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Status</w:t>
            </w:r>
          </w:p>
        </w:tc>
        <w:tc>
          <w:tcPr>
            <w:tcW w:type="dxa" w:w="3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Evidence and limitation</w:t>
            </w:r>
          </w:p>
        </w:tc>
        <w:tc>
          <w:tcPr>
            <w:tcW w:type="dxa" w:w="3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Next move / owner</w:t>
            </w:r>
          </w:p>
        </w:tc>
      </w:tr>
      <w:t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Data</w:t>
            </w:r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satisfied / blocking / unknown / N/A</w:t>
            </w:r>
          </w:p>
        </w:tc>
        <w:tc>
          <w:tcPr>
            <w:tcW w:type="dxa" w:w="3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Process</w:t>
            </w:r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satisfied / blocking / unknown / N/A</w:t>
            </w:r>
          </w:p>
        </w:tc>
        <w:tc>
          <w:tcPr>
            <w:tcW w:type="dxa" w:w="3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Governance</w:t>
            </w:r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satisfied / blocking / unknown / N/A</w:t>
            </w:r>
          </w:p>
        </w:tc>
        <w:tc>
          <w:tcPr>
            <w:tcW w:type="dxa" w:w="3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1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Accountable capability</w:t>
            </w:r>
          </w:p>
        </w:tc>
        <w:tc>
          <w:tcPr>
            <w:tcW w:type="dxa" w:w="1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satisfied / blocking / unknown / N/A</w:t>
            </w:r>
          </w:p>
        </w:tc>
        <w:tc>
          <w:tcPr>
            <w:tcW w:type="dxa" w:w="37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3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PHASE 02 / BUILD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Prove the slice</w:t>
      </w:r>
    </w:p>
    <w:p>
      <w:pPr>
        <w:keepNext w:val="0"/>
        <w:spacing w:before="0" w:after="200" w:line="300" w:lineRule="auto"/>
      </w:pPr>
      <w:r>
        <w:rPr>
          <w:rFonts w:ascii="Arial" w:hAnsi="Arial"/>
          <w:b w:val="0"/>
          <w:i w:val="0"/>
          <w:color w:val="625F59"/>
          <w:sz w:val="21"/>
        </w:rPr>
        <w:t>Use missions 4-8 to select the smallest sufficient mechanism, design a recoverable vertical slice, evaluate realistic behavior, secure effects, and decide readiness for the exact candidate.</w:t>
      </w: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Evidence to attach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40"/>
        <w:gridCol w:w="9640"/>
      </w:tblGrid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Intelligence-selection record: why this mechanism is the smallest sufficient option.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Bounded system design packet: trust boundaries, states, failures, telemetry, and release tests.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Evaluation set and report: reference authority, candidate binding, costs, and limitations.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Tool contract and threat tests: trusted reads, effects, authorization, duplicate safety, and readback.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Production readiness review: exact candidate, owners, rollback, and launch / constrain / hold decision.</w:t>
            </w:r>
          </w:p>
        </w:tc>
      </w:tr>
    </w:tbl>
    <w:p>
      <w:pPr>
        <w:spacing w:after="60"/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Exact candidate and evidence bundle: </w:t>
      </w:r>
      <w:r>
        <w:rPr>
          <w:rFonts w:ascii="Arial" w:hAnsi="Arial"/>
          <w:b w:val="0"/>
          <w:i/>
          <w:color w:val="625F59"/>
          <w:sz w:val="19"/>
        </w:rPr>
        <w:t>Record behavior, config, data/context, tool, and release revisions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Highest-risk failure path and exercised recovery: </w:t>
      </w:r>
      <w:r>
        <w:rPr>
          <w:rFonts w:ascii="Arial" w:hAnsi="Arial"/>
          <w:b w:val="0"/>
          <w:i/>
          <w:color w:val="625F59"/>
          <w:sz w:val="19"/>
        </w:rPr>
        <w:t>Name the trigger, detection, containment, recovery, and owner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Readiness decision: </w:t>
      </w:r>
      <w:r>
        <w:rPr>
          <w:rFonts w:ascii="Arial" w:hAnsi="Arial"/>
          <w:b w:val="0"/>
          <w:i/>
          <w:color w:val="625F59"/>
          <w:sz w:val="19"/>
        </w:rPr>
        <w:t>Launch / constrain / hold, with evidence and rollback condition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/>
        <w:pageBreakBefore/>
        <w:spacing w:before="0" w:after="100" w:line="240" w:lineRule="auto"/>
      </w:pPr>
      <w:r>
        <w:rPr>
          <w:rFonts w:ascii="Courier New" w:hAnsi="Courier New"/>
          <w:b/>
          <w:i w:val="0"/>
          <w:color w:val="625F59"/>
          <w:sz w:val="17"/>
        </w:rPr>
        <w:t>PHASE 03 / TRANSFER</w:t>
      </w:r>
    </w:p>
    <w:p>
      <w:pPr>
        <w:pStyle w:val="Heading1"/>
        <w:keepNext/>
        <w:pageBreakBefore w:val="0"/>
        <w:spacing w:before="360" w:after="140" w:line="252" w:lineRule="auto"/>
      </w:pPr>
      <w:r>
        <w:rPr>
          <w:rFonts w:ascii="Arial" w:hAnsi="Arial"/>
          <w:b/>
          <w:i w:val="0"/>
          <w:color w:val="111216"/>
          <w:sz w:val="32"/>
        </w:rPr>
        <w:t>Prove ownership</w:t>
      </w:r>
    </w:p>
    <w:p>
      <w:pPr>
        <w:keepNext w:val="0"/>
        <w:spacing w:before="0" w:after="200" w:line="300" w:lineRule="auto"/>
      </w:pPr>
      <w:r>
        <w:rPr>
          <w:rFonts w:ascii="Arial" w:hAnsi="Arial"/>
          <w:b w:val="0"/>
          <w:i w:val="0"/>
          <w:color w:val="625F59"/>
          <w:sz w:val="21"/>
        </w:rPr>
        <w:t>Use missions 9-10 to show that the accountable team can operate, change, recover, and retire the service without hidden delivery-team dependency.</w:t>
      </w: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Service and transfer evidence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20"/>
        <w:gridCol w:w="2720"/>
        <w:gridCol w:w="2800"/>
        <w:gridCol w:w="2340"/>
      </w:tblGrid>
      <w:tr>
        <w:trPr>
          <w:tblHeader w:val="true"/>
        </w:trPr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Evidence</w:t>
            </w:r>
          </w:p>
        </w:tc>
        <w:tc>
          <w:tcPr>
            <w:tcW w:type="dxa" w:w="2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Current signal</w:t>
            </w:r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Limitation</w:t>
            </w:r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  <w:shd w:fill="F3F1ED"/>
          </w:tcPr>
          <w:p>
            <w:pPr>
              <w:keepNext w:val="0"/>
              <w:spacing w:before="0" w:after="0" w:line="240" w:lineRule="auto"/>
            </w:pPr>
            <w:r/>
            <w:r>
              <w:rPr>
                <w:rFonts w:ascii="Courier New" w:hAnsi="Courier New"/>
                <w:b/>
                <w:i w:val="0"/>
                <w:color w:val="625F59"/>
                <w:sz w:val="16"/>
              </w:rPr>
              <w:t>Owner / next review</w:t>
            </w:r>
          </w:p>
        </w:tc>
      </w:tr>
      <w:tr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Outcome and adoption</w:t>
            </w:r>
          </w:p>
        </w:tc>
        <w:tc>
          <w:tcPr>
            <w:tcW w:type="dxa" w:w="2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Reliability, safety, and cost</w:t>
            </w:r>
          </w:p>
        </w:tc>
        <w:tc>
          <w:tcPr>
            <w:tcW w:type="dxa" w:w="2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Change, incident, and rollback</w:t>
            </w:r>
          </w:p>
        </w:tc>
        <w:tc>
          <w:tcPr>
            <w:tcW w:type="dxa" w:w="2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  <w:tr>
        <w:tc>
          <w:tcPr>
            <w:tcW w:type="dxa" w:w="22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  <w:r>
              <w:rPr>
                <w:rFonts w:ascii="Arial" w:hAnsi="Arial"/>
                <w:b w:val="0"/>
                <w:i/>
                <w:color w:val="8D8982"/>
                <w:sz w:val="18"/>
              </w:rPr>
              <w:t>Support and transfer capability</w:t>
            </w:r>
          </w:p>
        </w:tc>
        <w:tc>
          <w:tcPr>
            <w:tcW w:type="dxa" w:w="2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  <w:tc>
          <w:tcPr>
            <w:tcW w:type="dxa" w:w="2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200" w:line="276" w:lineRule="auto"/>
            </w:pPr>
            <w:r/>
          </w:p>
        </w:tc>
      </w:tr>
    </w:tbl>
    <w:p>
      <w:pPr>
        <w:spacing w:after="60"/>
      </w:pPr>
    </w:p>
    <w:p>
      <w:pPr>
        <w:pStyle w:val="Heading2"/>
        <w:keepNext/>
        <w:pageBreakBefore w:val="0"/>
        <w:spacing w:before="260" w:after="100" w:line="252" w:lineRule="auto"/>
      </w:pPr>
      <w:r>
        <w:rPr>
          <w:rFonts w:ascii="Arial" w:hAnsi="Arial"/>
          <w:b/>
          <w:i w:val="0"/>
          <w:color w:val="111216"/>
          <w:sz w:val="25"/>
        </w:rPr>
        <w:t>Final review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40"/>
        <w:gridCol w:w="9640"/>
      </w:tblGrid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The original brief and every superseded revision remain visible.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Consequential claims are source-linked or explicit unknowns with limitations.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Human authority is named, scoped, and never inferred from model output.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Only dependency-linked state changed; unaffected revisions remain intact.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The Outcome Contract states measurement, economics, ownership, limitations, and exit conditions.</w:t>
            </w:r>
          </w:p>
        </w:tc>
      </w:tr>
      <w:tr>
        <w:tc>
          <w:tcPr>
            <w:tcW w:type="dxa" w:w="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ourier New" w:hAnsi="Courier New"/>
                <w:b/>
                <w:i w:val="0"/>
                <w:color w:val="17368F"/>
                <w:sz w:val="19"/>
              </w:rPr>
              <w:t>[]</w:t>
            </w:r>
          </w:p>
        </w:tc>
        <w:tc>
          <w:tcPr>
            <w:tcW w:type="dxa" w:w="96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val="single" w:sz="8" w:space="0" w:color="E4E0D9"/>
              <w:bottom w:val="single" w:sz="8" w:space="0" w:color="E4E0D9"/>
              <w:left w:val="single" w:sz="8" w:space="0" w:color="E4E0D9"/>
              <w:right w:val="single" w:sz="8" w:space="0" w:color="E4E0D9"/>
            </w:tcBorders>
          </w:tcPr>
          <w:p>
            <w:pPr>
              <w:keepNext w:val="0"/>
              <w:spacing w:before="0" w:after="0" w:line="283" w:lineRule="auto"/>
            </w:pPr>
            <w:r/>
            <w:r>
              <w:rPr>
                <w:rFonts w:ascii="Arial" w:hAnsi="Arial"/>
                <w:b w:val="0"/>
                <w:i w:val="0"/>
                <w:color w:val="111216"/>
                <w:sz w:val="19"/>
              </w:rPr>
              <w:t>Synthetic, sanitized, and live evidence are visibly distinguished.</w:t>
            </w:r>
          </w:p>
        </w:tc>
      </w:tr>
    </w:tbl>
    <w:p>
      <w:pPr>
        <w:spacing w:after="60"/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Capstone disposition: </w:t>
      </w:r>
      <w:r>
        <w:rPr>
          <w:rFonts w:ascii="Arial" w:hAnsi="Arial"/>
          <w:b w:val="0"/>
          <w:i/>
          <w:color w:val="625F59"/>
          <w:sz w:val="19"/>
        </w:rPr>
        <w:t>Ready for peer review / needs more field evidence / stopped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60" w:after="80" w:line="283" w:lineRule="auto"/>
      </w:pPr>
      <w:r>
        <w:rPr>
          <w:rFonts w:ascii="Arial" w:hAnsi="Arial"/>
          <w:b/>
          <w:i w:val="0"/>
          <w:color w:val="111216"/>
          <w:sz w:val="19"/>
        </w:rPr>
        <w:t xml:space="preserve">Reviewer, strongest evidence, material limitation, and next field move: </w:t>
      </w:r>
      <w:r>
        <w:rPr>
          <w:rFonts w:ascii="Arial" w:hAnsi="Arial"/>
          <w:b w:val="0"/>
          <w:i/>
          <w:color w:val="625F59"/>
          <w:sz w:val="19"/>
        </w:rPr>
        <w:t>Keep the remaining uncertainty visible</w:t>
      </w: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p>
      <w:pPr>
        <w:keepNext w:val="0"/>
        <w:spacing w:before="0" w:after="60" w:line="240" w:lineRule="auto"/>
        <w:pBdr>
          <w:bottom w:val="single" w:sz="6" w:space="4" w:color="C9C3B9"/>
        </w:pBdr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518" w:footer="5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7560"/>
      <w:gridCol w:w="2520"/>
    </w:tblGrid>
    <w:tr>
      <w:tc>
        <w:tcPr>
          <w:tcW w:type="dxa" w:w="756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Lumyn FDE School  |  Fieldwork first. Systems second. Evidence throughout.</w:t>
          </w:r>
        </w:p>
      </w:tc>
      <w:tc>
        <w:tcPr>
          <w:tcW w:type="dxa" w:w="252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Arial" w:hAnsi="Arial"/>
              <w:b w:val="0"/>
              <w:i w:val="0"/>
              <w:color w:val="625F59"/>
              <w:sz w:val="16"/>
            </w:rPr>
            <w:t>Not a certification or approval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08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1780"/>
      <w:gridCol w:w="8300"/>
    </w:tblGrid>
    <w:tr>
      <w:tc>
        <w:tcPr>
          <w:tcW w:type="dxa" w:w="178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244CFF"/>
        </w:tcPr>
        <w:p>
          <w:pPr>
            <w:keepNext w:val="0"/>
            <w:spacing w:before="0" w:after="0" w:line="240" w:lineRule="auto"/>
            <w:jc w:val="center"/>
          </w:pPr>
          <w:r/>
          <w:r>
            <w:rPr>
              <w:rFonts w:ascii="Arial" w:hAnsi="Arial"/>
              <w:b/>
              <w:i w:val="0"/>
              <w:color w:val="FFFFFF"/>
              <w:sz w:val="24"/>
            </w:rPr>
            <w:t>L</w:t>
          </w:r>
        </w:p>
      </w:tc>
      <w:tc>
        <w:tcPr>
          <w:tcW w:type="dxa" w:w="8300"/>
          <w:tcMar>
            <w:top w:w="90" w:type="dxa"/>
            <w:start w:w="120" w:type="dxa"/>
            <w:bottom w:w="90" w:type="dxa"/>
            <w:end w:w="120" w:type="dxa"/>
          </w:tcMar>
          <w:vAlign w:val="center"/>
          <w:tcBorders>
            <w:top w:val="single" w:sz="8" w:space="0" w:color="E4E0D9"/>
            <w:bottom w:val="single" w:sz="8" w:space="0" w:color="E4E0D9"/>
            <w:left w:val="single" w:sz="8" w:space="0" w:color="E4E0D9"/>
            <w:right w:val="single" w:sz="8" w:space="0" w:color="E4E0D9"/>
          </w:tcBorders>
          <w:shd w:fill="FAFAF7"/>
        </w:tcPr>
        <w:p>
          <w:pPr>
            <w:keepNext w:val="0"/>
            <w:spacing w:before="0" w:after="0" w:line="240" w:lineRule="auto"/>
            <w:jc w:val="right"/>
          </w:pPr>
          <w:r/>
          <w:r>
            <w:rPr>
              <w:rFonts w:ascii="Courier New" w:hAnsi="Courier New"/>
              <w:b/>
              <w:i w:val="0"/>
              <w:color w:val="625F59"/>
              <w:sz w:val="17"/>
            </w:rPr>
            <w:t>LUMYN FDE SCHOOL  /  WORKING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11121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Lumyn FDE School Field Capstone</dc:title>
  <dc:subject>Connected FDE practice workbook</dc:subject>
  <dc:creator>Lumyn FDE School</dc:creator>
  <cp:keywords>FDE, applied AI, fieldwork, evidence, delivery</cp:keywords>
  <dc:description>Editable learner workbook. Not a certification, customer approval, or production release.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