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pageBreakBefore w:val="0"/>
        <w:spacing w:before="120" w:after="140" w:line="240" w:lineRule="auto"/>
      </w:pPr>
      <w:r>
        <w:rPr>
          <w:rFonts w:ascii="Courier New" w:hAnsi="Courier New"/>
          <w:b/>
          <w:i w:val="0"/>
          <w:color w:val="625F59"/>
          <w:sz w:val="17"/>
        </w:rPr>
        <w:t>PRACTICE COMPANION</w:t>
      </w:r>
    </w:p>
    <w:p>
      <w:pPr>
        <w:keepNext/>
        <w:spacing w:before="0" w:after="120" w:line="240" w:lineRule="auto"/>
      </w:pPr>
      <w:r>
        <w:rPr>
          <w:rFonts w:ascii="Arial" w:hAnsi="Arial"/>
          <w:b/>
          <w:i w:val="0"/>
          <w:color w:val="111216"/>
          <w:sz w:val="50"/>
        </w:rPr>
        <w:t>Field conversation kit</w:t>
      </w:r>
    </w:p>
    <w:p>
      <w:pPr>
        <w:keepNext/>
        <w:spacing w:before="0" w:after="220" w:line="293" w:lineRule="auto"/>
      </w:pPr>
      <w:r>
        <w:rPr>
          <w:rFonts w:ascii="Arial" w:hAnsi="Arial"/>
          <w:b w:val="0"/>
          <w:i w:val="0"/>
          <w:color w:val="625F59"/>
          <w:sz w:val="23"/>
        </w:rPr>
        <w:t>Neutral prompts for finding the person who knows the work, observing a representative case, surfacing a conflict, and closing a bounded decision.</w:t>
      </w:r>
    </w:p>
    <w:p>
      <w:pPr>
        <w:keepNext w:val="0"/>
        <w:spacing w:before="0" w:after="200" w:line="240" w:lineRule="auto"/>
        <w:pBdr>
          <w:bottom w:val="single" w:sz="14" w:space="1" w:color="244CFF"/>
        </w:pBdr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80"/>
        <w:gridCol w:w="8900"/>
      </w:tblGrid>
      <w:tr>
        <w:tc>
          <w:tcPr>
            <w:tcW w:type="dxa" w:w="11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244CFF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FFFFFF"/>
                <w:sz w:val="16"/>
              </w:rPr>
              <w:t>INTENT</w:t>
            </w:r>
          </w:p>
        </w:tc>
        <w:tc>
          <w:tcPr>
            <w:tcW w:type="dxa" w:w="8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EEF1FF"/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Adapt language to the confidentiality boundary. These prompts help gather evidence; they do not grant you authority to change scope or release work.</w:t>
            </w:r>
          </w:p>
        </w:tc>
      </w:tr>
    </w:tbl>
    <w:p>
      <w:pPr>
        <w:spacing w:after="40"/>
      </w:pP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Find the process knower</w:t>
      </w:r>
    </w:p>
    <w:p>
      <w:pPr>
        <w:keepNext w:val="0"/>
        <w:spacing w:before="0" w:after="160" w:line="300" w:lineRule="auto"/>
      </w:pPr>
      <w:r>
        <w:rPr>
          <w:rFonts w:ascii="Arial" w:hAnsi="Arial"/>
          <w:b w:val="0"/>
          <w:i/>
          <w:color w:val="111216"/>
          <w:sz w:val="21"/>
        </w:rPr>
        <w:t>Suggested opening: I am trying to understand one recent case as it actually moved through the workflow - not evaluate the person doing it or redesign it in this meeting. Who can reconstruct a routine case and an exception from permitted source systems?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40"/>
        <w:gridCol w:w="9640"/>
      </w:tblGrid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Which part of the case do you personally perform or own?</w:t>
            </w:r>
          </w:p>
        </w:tc>
      </w:tr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What do you decide, and who receives the result?</w:t>
            </w:r>
          </w:p>
        </w:tc>
      </w:tr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Who handles the exception you cannot resolve?</w:t>
            </w:r>
          </w:p>
        </w:tc>
      </w:tr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Which policy or system can override your usual practice?</w:t>
            </w:r>
          </w:p>
        </w:tc>
      </w:tr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Who may approve a change to this workflow?</w:t>
            </w:r>
          </w:p>
        </w:tc>
      </w:tr>
    </w:tbl>
    <w:p>
      <w:pPr>
        <w:spacing w:after="60"/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Process knower, role basis, and follow-up: </w:t>
      </w:r>
      <w:r>
        <w:rPr>
          <w:rFonts w:ascii="Arial" w:hAnsi="Arial"/>
          <w:b w:val="0"/>
          <w:i/>
          <w:color w:val="625F59"/>
          <w:sz w:val="19"/>
        </w:rPr>
        <w:t>Do not infer sponsor, owner, policy owner, or disposition authority from title alone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Agree the observation boundary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40"/>
        <w:gridCol w:w="9640"/>
      </w:tblGrid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Purpose and exact workflow slice.</w:t>
            </w:r>
          </w:p>
        </w:tc>
      </w:tr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Permitted sources, restricted fields, and retained evidence.</w:t>
            </w:r>
          </w:p>
        </w:tc>
      </w:tr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Allowed reviewers, correction route, and evidence mode.</w:t>
            </w:r>
          </w:p>
        </w:tc>
      </w:tr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Whether this session is observation, assertion gathering, or design review.</w:t>
            </w:r>
          </w:p>
        </w:tc>
      </w:tr>
    </w:tbl>
    <w:p>
      <w:pPr>
        <w:spacing w:after="60"/>
      </w:pPr>
    </w:p>
    <w:p>
      <w:pPr>
        <w:keepNext/>
        <w:pageBreakBefore/>
        <w:spacing w:before="0" w:after="100" w:line="240" w:lineRule="auto"/>
      </w:pPr>
      <w:r>
        <w:rPr>
          <w:rFonts w:ascii="Courier New" w:hAnsi="Courier New"/>
          <w:b/>
          <w:i w:val="0"/>
          <w:color w:val="625F59"/>
          <w:sz w:val="17"/>
        </w:rPr>
        <w:t>OBSERVE, THEN READ BACK</w:t>
      </w:r>
    </w:p>
    <w:p>
      <w:pPr>
        <w:pStyle w:val="Heading1"/>
        <w:keepNext/>
        <w:pageBreakBefore w:val="0"/>
        <w:spacing w:before="360" w:after="140" w:line="252" w:lineRule="auto"/>
      </w:pPr>
      <w:r>
        <w:rPr>
          <w:rFonts w:ascii="Arial" w:hAnsi="Arial"/>
          <w:b/>
          <w:i w:val="0"/>
          <w:color w:val="111216"/>
          <w:sz w:val="32"/>
        </w:rPr>
        <w:t>Reconstruct one case without leading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40"/>
        <w:gridCol w:w="9440"/>
      </w:tblGrid>
      <w:tr>
        <w:tc>
          <w:tcPr>
            <w:tcW w:type="dxa" w:w="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EEF1FF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8"/>
              </w:rPr>
              <w:t>01</w:t>
            </w:r>
          </w:p>
        </w:tc>
        <w:tc>
          <w:tcPr>
            <w:tcW w:type="dxa" w:w="9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" w:line="283" w:lineRule="auto"/>
            </w:pPr>
            <w:r/>
            <w:r>
              <w:rPr>
                <w:rFonts w:ascii="Arial" w:hAnsi="Arial"/>
                <w:b/>
                <w:i w:val="0"/>
                <w:color w:val="111216"/>
                <w:sz w:val="20"/>
              </w:rPr>
              <w:t>Start</w:t>
            </w:r>
          </w:p>
          <w:p>
            <w:pPr>
              <w:keepNext w:val="0"/>
              <w:spacing w:before="0" w:after="0" w:line="283" w:lineRule="auto"/>
            </w:pPr>
            <w:r>
              <w:rPr>
                <w:rFonts w:ascii="Arial" w:hAnsi="Arial"/>
                <w:b w:val="0"/>
                <w:i w:val="0"/>
                <w:color w:val="625F59"/>
                <w:sz w:val="19"/>
              </w:rPr>
              <w:t>What triggered the work, and what was the first decision you had to make?</w:t>
            </w:r>
          </w:p>
        </w:tc>
      </w:tr>
    </w:tbl>
    <w:p>
      <w:pPr>
        <w:spacing w:after="20"/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40"/>
        <w:gridCol w:w="9440"/>
      </w:tblGrid>
      <w:tr>
        <w:tc>
          <w:tcPr>
            <w:tcW w:type="dxa" w:w="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EEF1FF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8"/>
              </w:rPr>
              <w:t>02</w:t>
            </w:r>
          </w:p>
        </w:tc>
        <w:tc>
          <w:tcPr>
            <w:tcW w:type="dxa" w:w="9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" w:line="283" w:lineRule="auto"/>
            </w:pPr>
            <w:r/>
            <w:r>
              <w:rPr>
                <w:rFonts w:ascii="Arial" w:hAnsi="Arial"/>
                <w:b/>
                <w:i w:val="0"/>
                <w:color w:val="111216"/>
                <w:sz w:val="20"/>
              </w:rPr>
              <w:t>Inspect</w:t>
            </w:r>
          </w:p>
          <w:p>
            <w:pPr>
              <w:keepNext w:val="0"/>
              <w:spacing w:before="0" w:after="0" w:line="283" w:lineRule="auto"/>
            </w:pPr>
            <w:r>
              <w:rPr>
                <w:rFonts w:ascii="Arial" w:hAnsi="Arial"/>
                <w:b w:val="0"/>
                <w:i w:val="0"/>
                <w:color w:val="625F59"/>
                <w:sz w:val="19"/>
              </w:rPr>
              <w:t>Which exact source changed or confirmed that decision? What did the system suggest, require, or prevent?</w:t>
            </w:r>
          </w:p>
        </w:tc>
      </w:tr>
    </w:tbl>
    <w:p>
      <w:pPr>
        <w:spacing w:after="20"/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40"/>
        <w:gridCol w:w="9440"/>
      </w:tblGrid>
      <w:tr>
        <w:tc>
          <w:tcPr>
            <w:tcW w:type="dxa" w:w="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EEF1FF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8"/>
              </w:rPr>
              <w:t>03</w:t>
            </w:r>
          </w:p>
        </w:tc>
        <w:tc>
          <w:tcPr>
            <w:tcW w:type="dxa" w:w="9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" w:line="283" w:lineRule="auto"/>
            </w:pPr>
            <w:r/>
            <w:r>
              <w:rPr>
                <w:rFonts w:ascii="Arial" w:hAnsi="Arial"/>
                <w:b/>
                <w:i w:val="0"/>
                <w:color w:val="111216"/>
                <w:sz w:val="20"/>
              </w:rPr>
              <w:t>Act</w:t>
            </w:r>
          </w:p>
          <w:p>
            <w:pPr>
              <w:keepNext w:val="0"/>
              <w:spacing w:before="0" w:after="0" w:line="283" w:lineRule="auto"/>
            </w:pPr>
            <w:r>
              <w:rPr>
                <w:rFonts w:ascii="Arial" w:hAnsi="Arial"/>
                <w:b w:val="0"/>
                <w:i w:val="0"/>
                <w:color w:val="625F59"/>
                <w:sz w:val="19"/>
              </w:rPr>
              <w:t>What did you change manually, why, and where was the result recorded?</w:t>
            </w:r>
          </w:p>
        </w:tc>
      </w:tr>
    </w:tbl>
    <w:p>
      <w:pPr>
        <w:spacing w:after="20"/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40"/>
        <w:gridCol w:w="9440"/>
      </w:tblGrid>
      <w:tr>
        <w:tc>
          <w:tcPr>
            <w:tcW w:type="dxa" w:w="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EEF1FF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8"/>
              </w:rPr>
              <w:t>04</w:t>
            </w:r>
          </w:p>
        </w:tc>
        <w:tc>
          <w:tcPr>
            <w:tcW w:type="dxa" w:w="9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" w:line="283" w:lineRule="auto"/>
            </w:pPr>
            <w:r/>
            <w:r>
              <w:rPr>
                <w:rFonts w:ascii="Arial" w:hAnsi="Arial"/>
                <w:b/>
                <w:i w:val="0"/>
                <w:color w:val="111216"/>
                <w:sz w:val="20"/>
              </w:rPr>
              <w:t>Verify</w:t>
            </w:r>
          </w:p>
          <w:p>
            <w:pPr>
              <w:keepNext w:val="0"/>
              <w:spacing w:before="0" w:after="0" w:line="283" w:lineRule="auto"/>
            </w:pPr>
            <w:r>
              <w:rPr>
                <w:rFonts w:ascii="Arial" w:hAnsi="Arial"/>
                <w:b w:val="0"/>
                <w:i w:val="0"/>
                <w:color w:val="625F59"/>
                <w:sz w:val="19"/>
              </w:rPr>
              <w:t>How did you know the action completed? What exception or workaround would make this path different?</w:t>
            </w:r>
          </w:p>
        </w:tc>
      </w:tr>
    </w:tbl>
    <w:p>
      <w:pPr>
        <w:spacing w:after="20"/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40"/>
        <w:gridCol w:w="9440"/>
      </w:tblGrid>
      <w:tr>
        <w:tc>
          <w:tcPr>
            <w:tcW w:type="dxa" w:w="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EEF1FF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8"/>
              </w:rPr>
              <w:t>05</w:t>
            </w:r>
          </w:p>
        </w:tc>
        <w:tc>
          <w:tcPr>
            <w:tcW w:type="dxa" w:w="9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" w:line="283" w:lineRule="auto"/>
            </w:pPr>
            <w:r/>
            <w:r>
              <w:rPr>
                <w:rFonts w:ascii="Arial" w:hAnsi="Arial"/>
                <w:b/>
                <w:i w:val="0"/>
                <w:color w:val="111216"/>
                <w:sz w:val="20"/>
              </w:rPr>
              <w:t>Correct</w:t>
            </w:r>
          </w:p>
          <w:p>
            <w:pPr>
              <w:keepNext w:val="0"/>
              <w:spacing w:before="0" w:after="0" w:line="283" w:lineRule="auto"/>
            </w:pPr>
            <w:r>
              <w:rPr>
                <w:rFonts w:ascii="Arial" w:hAnsi="Arial"/>
                <w:b w:val="0"/>
                <w:i w:val="0"/>
                <w:color w:val="625F59"/>
                <w:sz w:val="19"/>
              </w:rPr>
              <w:t>Which part of my readback is wrong or incomplete?</w:t>
            </w:r>
          </w:p>
        </w:tc>
      </w:tr>
    </w:tbl>
    <w:p>
      <w:pPr>
        <w:spacing w:after="20"/>
      </w:pP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Readback</w:t>
      </w:r>
    </w:p>
    <w:p>
      <w:pPr>
        <w:keepNext w:val="0"/>
        <w:spacing w:before="0" w:after="140" w:line="300" w:lineRule="auto"/>
      </w:pPr>
      <w:r>
        <w:rPr>
          <w:rFonts w:ascii="Arial" w:hAnsi="Arial"/>
          <w:b w:val="0"/>
          <w:i/>
          <w:color w:val="111216"/>
          <w:sz w:val="21"/>
        </w:rPr>
        <w:t>I observed [case and scope]. The operator inspected [sources], decided [decision], performed [action], and verified [readback]. This proves occurrence in this case, not frequency or permission. The material unknown is [unknown]. The smallest next move is [movement], owned by [owner or unknown].</w:t>
      </w: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Corrections, limitations, and next field move: </w:t>
      </w:r>
      <w:r>
        <w:rPr>
          <w:rFonts w:ascii="Arial" w:hAnsi="Arial"/>
          <w:b w:val="0"/>
          <w:i/>
          <w:color w:val="625F59"/>
          <w:sz w:val="19"/>
        </w:rPr>
        <w:t>Keep the source evidence and limitation visible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/>
        <w:pageBreakBefore/>
        <w:spacing w:before="0" w:after="100" w:line="240" w:lineRule="auto"/>
      </w:pPr>
      <w:r>
        <w:rPr>
          <w:rFonts w:ascii="Courier New" w:hAnsi="Courier New"/>
          <w:b/>
          <w:i w:val="0"/>
          <w:color w:val="625F59"/>
          <w:sz w:val="17"/>
        </w:rPr>
        <w:t>REFRAME MEETING</w:t>
      </w:r>
    </w:p>
    <w:p>
      <w:pPr>
        <w:pStyle w:val="Heading1"/>
        <w:keepNext/>
        <w:pageBreakBefore w:val="0"/>
        <w:spacing w:before="360" w:after="140" w:line="252" w:lineRule="auto"/>
      </w:pPr>
      <w:r>
        <w:rPr>
          <w:rFonts w:ascii="Arial" w:hAnsi="Arial"/>
          <w:b/>
          <w:i w:val="0"/>
          <w:color w:val="111216"/>
          <w:sz w:val="32"/>
        </w:rPr>
        <w:t>Surface a contradiction without blame</w:t>
      </w:r>
    </w:p>
    <w:p>
      <w:pPr>
        <w:keepNext w:val="0"/>
        <w:spacing w:before="0" w:after="160" w:line="300" w:lineRule="auto"/>
      </w:pPr>
      <w:r>
        <w:rPr>
          <w:rFonts w:ascii="Arial" w:hAnsi="Arial"/>
          <w:b w:val="0"/>
          <w:i/>
          <w:color w:val="111216"/>
          <w:sz w:val="21"/>
        </w:rPr>
        <w:t>We have two bounded claims that cannot both define the current delivery boundary. The inherited brief states [claim and source]. Field evidence states [claim and source]. This affects [scope, authority, economics, evaluation, or acceptance]. It does not establish that either stakeholder acted improperly.</w:t>
      </w: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Run the reframe decision meeting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3400"/>
        <w:gridCol w:w="5780"/>
      </w:tblGrid>
      <w:tr>
        <w:trPr>
          <w:tblHeader w:val="true"/>
        </w:trP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Minutes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Agenda</w:t>
            </w:r>
          </w:p>
        </w:tc>
        <w:tc>
          <w:tcPr>
            <w:tcW w:type="dxa" w:w="57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Record</w:t>
            </w:r>
          </w:p>
        </w:tc>
      </w:tr>
      <w:t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04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Inherited claim</w:t>
            </w:r>
          </w:p>
        </w:tc>
        <w:tc>
          <w:tcPr>
            <w:tcW w:type="dxa" w:w="57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Exact passage, revision, and dependent outputs</w:t>
            </w:r>
          </w:p>
        </w:tc>
      </w:tr>
      <w:t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06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Contesting evidence</w:t>
            </w:r>
          </w:p>
        </w:tc>
        <w:tc>
          <w:tcPr>
            <w:tcW w:type="dxa" w:w="57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Evidence class, scope, and limitation</w:t>
            </w:r>
          </w:p>
        </w:tc>
      </w:tr>
      <w:t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04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Delivery consequence</w:t>
            </w:r>
          </w:p>
        </w:tc>
        <w:tc>
          <w:tcPr>
            <w:tcW w:type="dxa" w:w="57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What becomes unsafe, uneconomic, or unprovable</w:t>
            </w:r>
          </w:p>
        </w:tc>
      </w:tr>
      <w:t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05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Proposed boundary</w:t>
            </w:r>
          </w:p>
        </w:tc>
        <w:tc>
          <w:tcPr>
            <w:tcW w:type="dxa" w:w="57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Included work, exclusions, and safe fallback</w:t>
            </w:r>
          </w:p>
        </w:tc>
      </w:tr>
      <w:t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03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Authority check</w:t>
            </w:r>
          </w:p>
        </w:tc>
        <w:tc>
          <w:tcPr>
            <w:tcW w:type="dxa" w:w="57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Who can decide which dimension and on what basis</w:t>
            </w:r>
          </w:p>
        </w:tc>
      </w:tr>
      <w:t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05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Disposition</w:t>
            </w:r>
          </w:p>
        </w:tc>
        <w:tc>
          <w:tcPr>
            <w:tcW w:type="dxa" w:w="57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Continue discovery, bounded kickoff, defer, or stop</w:t>
            </w:r>
          </w:p>
        </w:tc>
      </w:tr>
      <w:t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03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Readback</w:t>
            </w:r>
          </w:p>
        </w:tc>
        <w:tc>
          <w:tcPr>
            <w:tcW w:type="dxa" w:w="57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Affected outputs, unchanged work, owner, and review trigger</w:t>
            </w:r>
          </w:p>
        </w:tc>
      </w:tr>
    </w:tbl>
    <w:p>
      <w:pPr>
        <w:spacing w:after="60"/>
      </w:pP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Decision close</w:t>
      </w:r>
    </w:p>
    <w:p>
      <w:pPr>
        <w:keepNext w:val="0"/>
        <w:spacing w:before="0" w:after="140" w:line="300" w:lineRule="auto"/>
      </w:pPr>
      <w:r>
        <w:rPr>
          <w:rFonts w:ascii="Arial" w:hAnsi="Arial"/>
          <w:b w:val="0"/>
          <w:i/>
          <w:color w:val="111216"/>
          <w:sz w:val="21"/>
        </w:rPr>
        <w:t>I heard [actor], acting under [authority basis], decide [disposition] for [scope] on [date]. The safe fallback remains [fallback]. We will update only [dependent objects] and preserve prior revisions. [Unchanged objects] remain current.</w:t>
      </w: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Disposition, authority basis, and next review: </w:t>
      </w:r>
      <w:r>
        <w:rPr>
          <w:rFonts w:ascii="Arial" w:hAnsi="Arial"/>
          <w:b w:val="0"/>
          <w:i/>
          <w:color w:val="625F59"/>
          <w:sz w:val="19"/>
        </w:rPr>
        <w:t>If authority is missing or contested, record no disposition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1080" w:left="1080" w:header="518" w:footer="51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080"/>
      <w:jc w:val="left"/>
      <w:tblLayout w:type="fixed"/>
      <w:tblLook w:firstColumn="1" w:firstRow="1" w:lastColumn="0" w:lastRow="0" w:noHBand="0" w:noVBand="1" w:val="04A0"/>
      <w:tblInd w:w="120" w:type="dxa"/>
    </w:tblPr>
    <w:tblGrid>
      <w:gridCol w:w="7560"/>
      <w:gridCol w:w="2520"/>
    </w:tblGrid>
    <w:tr>
      <w:tc>
        <w:tcPr>
          <w:tcW w:type="dxa" w:w="7560"/>
          <w:tcMar>
            <w:top w:w="90" w:type="dxa"/>
            <w:start w:w="120" w:type="dxa"/>
            <w:bottom w:w="90" w:type="dxa"/>
            <w:end w:w="120" w:type="dxa"/>
          </w:tcMar>
          <w:vAlign w:val="center"/>
          <w:tcBorders>
            <w:top w:val="single" w:sz="8" w:space="0" w:color="E4E0D9"/>
            <w:bottom w:val="single" w:sz="8" w:space="0" w:color="E4E0D9"/>
            <w:left w:val="single" w:sz="8" w:space="0" w:color="E4E0D9"/>
            <w:right w:val="single" w:sz="8" w:space="0" w:color="E4E0D9"/>
          </w:tcBorders>
        </w:tcPr>
        <w:p>
          <w:pPr>
            <w:keepNext w:val="0"/>
            <w:spacing w:before="0" w:after="0" w:line="240" w:lineRule="auto"/>
          </w:pPr>
          <w:r/>
          <w:r>
            <w:rPr>
              <w:rFonts w:ascii="Arial" w:hAnsi="Arial"/>
              <w:b w:val="0"/>
              <w:i w:val="0"/>
              <w:color w:val="625F59"/>
              <w:sz w:val="16"/>
            </w:rPr>
            <w:t>Lumyn FDE School  |  Fieldwork first. Systems second. Evidence throughout.</w:t>
          </w:r>
        </w:p>
      </w:tc>
      <w:tc>
        <w:tcPr>
          <w:tcW w:type="dxa" w:w="2520"/>
          <w:tcMar>
            <w:top w:w="90" w:type="dxa"/>
            <w:start w:w="120" w:type="dxa"/>
            <w:bottom w:w="90" w:type="dxa"/>
            <w:end w:w="120" w:type="dxa"/>
          </w:tcMar>
          <w:vAlign w:val="center"/>
          <w:tcBorders>
            <w:top w:val="single" w:sz="8" w:space="0" w:color="E4E0D9"/>
            <w:bottom w:val="single" w:sz="8" w:space="0" w:color="E4E0D9"/>
            <w:left w:val="single" w:sz="8" w:space="0" w:color="E4E0D9"/>
            <w:right w:val="single" w:sz="8" w:space="0" w:color="E4E0D9"/>
          </w:tcBorders>
        </w:tcPr>
        <w:p>
          <w:pPr>
            <w:keepNext w:val="0"/>
            <w:spacing w:before="0" w:after="0" w:line="240" w:lineRule="auto"/>
            <w:jc w:val="right"/>
          </w:pPr>
          <w:r/>
          <w:r>
            <w:rPr>
              <w:rFonts w:ascii="Arial" w:hAnsi="Arial"/>
              <w:b w:val="0"/>
              <w:i w:val="0"/>
              <w:color w:val="625F59"/>
              <w:sz w:val="16"/>
            </w:rPr>
            <w:t>Not a certification or approval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0080"/>
      <w:jc w:val="left"/>
      <w:tblLayout w:type="fixed"/>
      <w:tblLook w:firstColumn="1" w:firstRow="1" w:lastColumn="0" w:lastRow="0" w:noHBand="0" w:noVBand="1" w:val="04A0"/>
      <w:tblInd w:w="120" w:type="dxa"/>
    </w:tblPr>
    <w:tblGrid>
      <w:gridCol w:w="1780"/>
      <w:gridCol w:w="8300"/>
    </w:tblGrid>
    <w:tr>
      <w:tc>
        <w:tcPr>
          <w:tcW w:type="dxa" w:w="1780"/>
          <w:tcMar>
            <w:top w:w="90" w:type="dxa"/>
            <w:start w:w="120" w:type="dxa"/>
            <w:bottom w:w="90" w:type="dxa"/>
            <w:end w:w="120" w:type="dxa"/>
          </w:tcMar>
          <w:vAlign w:val="center"/>
          <w:tcBorders>
            <w:top w:val="single" w:sz="8" w:space="0" w:color="E4E0D9"/>
            <w:bottom w:val="single" w:sz="8" w:space="0" w:color="E4E0D9"/>
            <w:left w:val="single" w:sz="8" w:space="0" w:color="E4E0D9"/>
            <w:right w:val="single" w:sz="8" w:space="0" w:color="E4E0D9"/>
          </w:tcBorders>
          <w:shd w:fill="244CFF"/>
        </w:tcPr>
        <w:p>
          <w:pPr>
            <w:keepNext w:val="0"/>
            <w:spacing w:before="0" w:after="0" w:line="240" w:lineRule="auto"/>
            <w:jc w:val="center"/>
          </w:pPr>
          <w:r/>
          <w:r>
            <w:rPr>
              <w:rFonts w:ascii="Arial" w:hAnsi="Arial"/>
              <w:b/>
              <w:i w:val="0"/>
              <w:color w:val="FFFFFF"/>
              <w:sz w:val="24"/>
            </w:rPr>
            <w:t>L</w:t>
          </w:r>
        </w:p>
      </w:tc>
      <w:tc>
        <w:tcPr>
          <w:tcW w:type="dxa" w:w="8300"/>
          <w:tcMar>
            <w:top w:w="90" w:type="dxa"/>
            <w:start w:w="120" w:type="dxa"/>
            <w:bottom w:w="90" w:type="dxa"/>
            <w:end w:w="120" w:type="dxa"/>
          </w:tcMar>
          <w:vAlign w:val="center"/>
          <w:tcBorders>
            <w:top w:val="single" w:sz="8" w:space="0" w:color="E4E0D9"/>
            <w:bottom w:val="single" w:sz="8" w:space="0" w:color="E4E0D9"/>
            <w:left w:val="single" w:sz="8" w:space="0" w:color="E4E0D9"/>
            <w:right w:val="single" w:sz="8" w:space="0" w:color="E4E0D9"/>
          </w:tcBorders>
          <w:shd w:fill="FAFAF7"/>
        </w:tcPr>
        <w:p>
          <w:pPr>
            <w:keepNext w:val="0"/>
            <w:spacing w:before="0" w:after="0" w:line="240" w:lineRule="auto"/>
            <w:jc w:val="right"/>
          </w:pPr>
          <w:r/>
          <w:r>
            <w:rPr>
              <w:rFonts w:ascii="Courier New" w:hAnsi="Courier New"/>
              <w:b/>
              <w:i w:val="0"/>
              <w:color w:val="625F59"/>
              <w:sz w:val="17"/>
            </w:rPr>
            <w:t>LUMYN FDE SCHOOL  /  WORKING TEMPLATE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" w:hAnsi="Arial"/>
      <w:color w:val="111216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 conversation kit</dc:title>
  <dc:subject>FDE observation and reframe conversation workbook</dc:subject>
  <dc:creator>Lumyn FDE School</dc:creator>
  <cp:keywords>FDE, applied AI, fieldwork, evidence, delivery</cp:keywords>
  <dc:description>Editable learner workbook. Not a certification, customer approval, or production release.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