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120" w:after="14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MISSION 01 / FIELD</w:t>
      </w:r>
    </w:p>
    <w:p>
      <w:pPr>
        <w:keepNext/>
        <w:spacing w:before="0" w:after="120" w:line="240" w:lineRule="auto"/>
      </w:pPr>
      <w:r>
        <w:rPr>
          <w:rFonts w:ascii="Arial" w:hAnsi="Arial"/>
          <w:b/>
          <w:i w:val="0"/>
          <w:color w:val="111216"/>
          <w:sz w:val="50"/>
        </w:rPr>
        <w:t>Field observation log</w:t>
      </w:r>
    </w:p>
    <w:p>
      <w:pPr>
        <w:keepNext/>
        <w:spacing w:before="0" w:after="220" w:line="293" w:lineRule="auto"/>
      </w:pPr>
      <w:r>
        <w:rPr>
          <w:rFonts w:ascii="Arial" w:hAnsi="Arial"/>
          <w:b w:val="0"/>
          <w:i w:val="0"/>
          <w:color w:val="625F59"/>
          <w:sz w:val="23"/>
        </w:rPr>
        <w:t>Capture one representative workflow case without turning one observation into a claim about frequency, permission, or authority.</w:t>
      </w:r>
    </w:p>
    <w:p>
      <w:pPr>
        <w:keepNext w:val="0"/>
        <w:spacing w:before="0" w:after="200" w:line="240" w:lineRule="auto"/>
        <w:pBdr>
          <w:bottom w:val="single" w:sz="14" w:space="1" w:color="244CFF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244CFF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FFFFFF"/>
                <w:sz w:val="16"/>
              </w:rPr>
              <w:t>BOUNDARY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Use live field evidence, a sanitized retrospective, or synthetic practice. Mark the evidence mode and limitation before recording the case.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Observation boundary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Evidence mode: </w:t>
      </w:r>
      <w:r>
        <w:rPr>
          <w:rFonts w:ascii="Arial" w:hAnsi="Arial"/>
          <w:b w:val="0"/>
          <w:i/>
          <w:color w:val="625F59"/>
          <w:sz w:val="19"/>
        </w:rPr>
        <w:t>Live field evidence / sanitized retrospective / synthetic practice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Workflow and case identity: </w:t>
      </w:r>
      <w:r>
        <w:rPr>
          <w:rFonts w:ascii="Arial" w:hAnsi="Arial"/>
          <w:b w:val="0"/>
          <w:i/>
          <w:color w:val="625F59"/>
          <w:sz w:val="19"/>
        </w:rPr>
        <w:t>Customer-safe scope, trigger, and relevant date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Observer and process knower: </w:t>
      </w:r>
      <w:r>
        <w:rPr>
          <w:rFonts w:ascii="Arial" w:hAnsi="Arial"/>
          <w:b w:val="0"/>
          <w:i/>
          <w:color w:val="625F59"/>
          <w:sz w:val="19"/>
        </w:rPr>
        <w:t>State what each person actually performed or owns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Why this case is representative: </w:t>
      </w:r>
      <w:r>
        <w:rPr>
          <w:rFonts w:ascii="Arial" w:hAnsi="Arial"/>
          <w:b w:val="0"/>
          <w:i/>
          <w:color w:val="625F59"/>
          <w:sz w:val="19"/>
        </w:rPr>
        <w:t>Or state the limitation that prevents the claim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Evidence-handling boundary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40"/>
        <w:gridCol w:w="6940"/>
      </w:tblGrid>
      <w:tr>
        <w:trPr>
          <w:tblHeader w:val="true"/>
        </w:trP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Question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Record</w:t>
            </w:r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Permission or consent basis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Permitted sources and passages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Restricted fields and redaction rules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Allowed reviewers and storage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Retention / deletion owner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3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Correction route for the source owner</w:t>
            </w:r>
          </w:p>
        </w:tc>
        <w:tc>
          <w:tcPr>
            <w:tcW w:type="dxa" w:w="69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RECONSTRUCT THE CASE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Case path</w:t>
      </w:r>
    </w:p>
    <w:p>
      <w:pPr>
        <w:keepNext w:val="0"/>
        <w:spacing w:before="0" w:after="12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Record what occurred in this case. Keep observation separate from interpretation and policy.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1750"/>
        <w:gridCol w:w="1750"/>
        <w:gridCol w:w="1760"/>
        <w:gridCol w:w="2200"/>
        <w:gridCol w:w="2100"/>
      </w:tblGrid>
      <w:tr>
        <w:trPr>
          <w:tblHeader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Step</w:t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Trigger / input</w:t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Actor or system</w:t>
            </w:r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Decision</w:t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 inspected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Action / record</w:t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Exception and workaround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Exception observed: </w:t>
      </w:r>
      <w:r>
        <w:rPr>
          <w:rFonts w:ascii="Arial" w:hAnsi="Arial"/>
          <w:b w:val="0"/>
          <w:i/>
          <w:color w:val="625F59"/>
          <w:sz w:val="19"/>
        </w:rPr>
        <w:t>What changed in the path, who decided, and source evidence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Frequency basis: </w:t>
      </w:r>
      <w:r>
        <w:rPr>
          <w:rFonts w:ascii="Arial" w:hAnsi="Arial"/>
          <w:b w:val="0"/>
          <w:i/>
          <w:color w:val="625F59"/>
          <w:sz w:val="19"/>
        </w:rPr>
        <w:t>Observed once / measured / asserted / unknown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Consequential claims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1520"/>
        <w:gridCol w:w="2050"/>
        <w:gridCol w:w="1600"/>
        <w:gridCol w:w="1960"/>
        <w:gridCol w:w="1200"/>
      </w:tblGrid>
      <w:tr>
        <w:trPr>
          <w:tblHeader w:val="true"/>
        </w:trP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Claim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 basis</w:t>
            </w:r>
          </w:p>
        </w:tc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Exact passage</w:t>
            </w:r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Applicability</w:t>
            </w:r>
          </w:p>
        </w:tc>
        <w:tc>
          <w:tcPr>
            <w:tcW w:type="dxa" w:w="1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Limitation</w:t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Status</w:t>
            </w:r>
          </w:p>
        </w:tc>
      </w:tr>
      <w:t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SYNTHESIZE CAREFULLY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Role separation and current field view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Sponsor: </w:t>
      </w:r>
      <w:r>
        <w:rPr>
          <w:rFonts w:ascii="Arial" w:hAnsi="Arial"/>
          <w:b w:val="0"/>
          <w:i/>
          <w:color w:val="625F59"/>
          <w:sz w:val="19"/>
        </w:rPr>
        <w:t>Name or explicit unknown; record the basis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Process knower: </w:t>
      </w:r>
      <w:r>
        <w:rPr>
          <w:rFonts w:ascii="Arial" w:hAnsi="Arial"/>
          <w:b w:val="0"/>
          <w:i/>
          <w:color w:val="625F59"/>
          <w:sz w:val="19"/>
        </w:rPr>
        <w:t>What this person personally performs or owns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Accountable operating owner: </w:t>
      </w:r>
      <w:r>
        <w:rPr>
          <w:rFonts w:ascii="Arial" w:hAnsi="Arial"/>
          <w:b w:val="0"/>
          <w:i/>
          <w:color w:val="625F59"/>
          <w:sz w:val="19"/>
        </w:rPr>
        <w:t>Scope and evidence basis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Scoped disposition authority: </w:t>
      </w:r>
      <w:r>
        <w:rPr>
          <w:rFonts w:ascii="Arial" w:hAnsi="Arial"/>
          <w:b w:val="0"/>
          <w:i/>
          <w:color w:val="625F59"/>
          <w:sz w:val="19"/>
        </w:rPr>
        <w:t>Direct or explicitly delegated authority basis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Current field view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Known, contested, and unknown: </w:t>
      </w:r>
      <w:r>
        <w:rPr>
          <w:rFonts w:ascii="Arial" w:hAnsi="Arial"/>
          <w:b w:val="0"/>
          <w:i/>
          <w:color w:val="625F59"/>
          <w:sz w:val="19"/>
        </w:rPr>
        <w:t>Keep claims and limitations distinct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Constraint most likely to change the boundary: </w:t>
      </w:r>
      <w:r>
        <w:rPr>
          <w:rFonts w:ascii="Arial" w:hAnsi="Arial"/>
          <w:b w:val="0"/>
          <w:i/>
          <w:color w:val="625F59"/>
          <w:sz w:val="19"/>
        </w:rPr>
        <w:t>Data / process / governance / accountable capability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Next field movement: </w:t>
      </w:r>
      <w:r>
        <w:rPr>
          <w:rFonts w:ascii="Arial" w:hAnsi="Arial"/>
          <w:b w:val="0"/>
          <w:i/>
          <w:color w:val="625F59"/>
          <w:sz w:val="19"/>
        </w:rPr>
        <w:t>Validate person / observe a case / resolve a cited conflict; owner and date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Independent review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Evidence classes and limitations are distinguishable.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log avoids unsupported frequency, permission, or authority claims.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next move can be acted on without interpreting the record.</w:t>
            </w:r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Reviewer and review disposition: </w:t>
      </w:r>
      <w:r>
        <w:rPr>
          <w:rFonts w:ascii="Arial" w:hAnsi="Arial"/>
          <w:b w:val="0"/>
          <w:i/>
          <w:color w:val="625F59"/>
          <w:sz w:val="19"/>
        </w:rPr>
        <w:t>Record limitation or correction needed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560"/>
      <w:gridCol w:w="2520"/>
    </w:tblGrid>
    <w:tr>
      <w:tc>
        <w:tcPr>
          <w:tcW w:type="dxa" w:w="756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Lumyn FDE School  |  Fieldwork first. Systems second. Evidence throughout.</w:t>
          </w:r>
        </w:p>
      </w:tc>
      <w:tc>
        <w:tcPr>
          <w:tcW w:type="dxa" w:w="252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Not a certification or approval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1780"/>
      <w:gridCol w:w="8300"/>
    </w:tblGrid>
    <w:tr>
      <w:tc>
        <w:tcPr>
          <w:tcW w:type="dxa" w:w="178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244CFF"/>
        </w:tcPr>
        <w:p>
          <w:pPr>
            <w:keepNext w:val="0"/>
            <w:spacing w:before="0" w:after="0" w:line="240" w:lineRule="auto"/>
            <w:jc w:val="center"/>
          </w:pPr>
          <w:r/>
          <w:r>
            <w:rPr>
              <w:rFonts w:ascii="Arial" w:hAnsi="Arial"/>
              <w:b/>
              <w:i w:val="0"/>
              <w:color w:val="FFFFFF"/>
              <w:sz w:val="24"/>
            </w:rPr>
            <w:t>L</w:t>
          </w:r>
        </w:p>
      </w:tc>
      <w:tc>
        <w:tcPr>
          <w:tcW w:type="dxa" w:w="830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FAFAF7"/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Courier New" w:hAnsi="Courier New"/>
              <w:b/>
              <w:i w:val="0"/>
              <w:color w:val="625F59"/>
              <w:sz w:val="17"/>
            </w:rPr>
            <w:t>LUMYN FDE SCHOOL  /  WORKING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1112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observation log</dc:title>
  <dc:subject>Representative workflow evidence workbook</dc:subject>
  <dc:creator>Lumyn FDE School</dc:creator>
  <cp:keywords>FDE, applied AI, fieldwork, evidence, delivery</cp:keywords>
  <dc:description>Editable learner workbook. Not a certification, customer approval, or production release.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