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pageBreakBefore w:val="0"/>
        <w:spacing w:before="120" w:after="140" w:line="240" w:lineRule="auto"/>
      </w:pPr>
      <w:r>
        <w:rPr>
          <w:rFonts w:ascii="Courier New" w:hAnsi="Courier New"/>
          <w:b/>
          <w:i w:val="0"/>
          <w:color w:val="625F59"/>
          <w:sz w:val="17"/>
        </w:rPr>
        <w:t>MISSION 03 / FIELD</w:t>
      </w:r>
    </w:p>
    <w:p>
      <w:pPr>
        <w:keepNext/>
        <w:spacing w:before="0" w:after="120" w:line="240" w:lineRule="auto"/>
      </w:pPr>
      <w:r>
        <w:rPr>
          <w:rFonts w:ascii="Arial" w:hAnsi="Arial"/>
          <w:b/>
          <w:i w:val="0"/>
          <w:color w:val="111216"/>
          <w:sz w:val="50"/>
        </w:rPr>
        <w:t>Workflow charter and value case</w:t>
      </w:r>
    </w:p>
    <w:p>
      <w:pPr>
        <w:keepNext/>
        <w:spacing w:before="0" w:after="220" w:line="293" w:lineRule="auto"/>
      </w:pPr>
      <w:r>
        <w:rPr>
          <w:rFonts w:ascii="Arial" w:hAnsi="Arial"/>
          <w:b w:val="0"/>
          <w:i w:val="0"/>
          <w:color w:val="625F59"/>
          <w:sz w:val="23"/>
        </w:rPr>
        <w:t>Define the consequential decision, the bounded workflow, the economics, and the non-scored constraints before you commit a build.</w:t>
      </w:r>
    </w:p>
    <w:p>
      <w:pPr>
        <w:keepNext w:val="0"/>
        <w:spacing w:before="0" w:after="200" w:line="240" w:lineRule="auto"/>
        <w:pBdr>
          <w:bottom w:val="single" w:sz="14" w:space="1" w:color="244CFF"/>
        </w:pBdr>
      </w:pP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180"/>
        <w:gridCol w:w="8900"/>
      </w:tblGrid>
      <w:tr>
        <w:tc>
          <w:tcPr>
            <w:tcW w:type="dxa" w:w="11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244CFF"/>
          </w:tcPr>
          <w:p>
            <w:pPr>
              <w:keepNext w:val="0"/>
              <w:spacing w:before="0" w:after="0" w:line="240" w:lineRule="auto"/>
            </w:pPr>
            <w:r/>
            <w:r>
              <w:rPr>
                <w:rFonts w:ascii="Courier New" w:hAnsi="Courier New"/>
                <w:b/>
                <w:i w:val="0"/>
                <w:color w:val="FFFFFF"/>
                <w:sz w:val="16"/>
              </w:rPr>
              <w:t>DECISION FIRST</w:t>
            </w:r>
          </w:p>
        </w:tc>
        <w:tc>
          <w:tcPr>
            <w:tcW w:type="dxa" w:w="8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EEF1FF"/>
          </w:tcPr>
          <w:p>
            <w:pPr>
              <w:keepNext w:val="0"/>
              <w:spacing w:before="0" w:after="0" w:line="283" w:lineRule="auto"/>
            </w:pPr>
            <w:r/>
            <w:r>
              <w:rPr>
                <w:rFonts w:ascii="Arial" w:hAnsi="Arial"/>
                <w:b w:val="0"/>
                <w:i w:val="0"/>
                <w:color w:val="111216"/>
                <w:sz w:val="19"/>
              </w:rPr>
              <w:t>A current outcome statement may be Draft or Proposed. It becomes Accepted only with a scoped human disposition and supporting authority basis.</w:t>
            </w:r>
          </w:p>
        </w:tc>
      </w:tr>
    </w:tbl>
    <w:p>
      <w:pPr>
        <w:spacing w:after="40"/>
      </w:pPr>
    </w:p>
    <w:p>
      <w:pPr>
        <w:pStyle w:val="Heading2"/>
        <w:keepNext/>
        <w:pageBreakBefore w:val="0"/>
        <w:spacing w:before="260" w:after="100" w:line="252" w:lineRule="auto"/>
      </w:pPr>
      <w:r>
        <w:rPr>
          <w:rFonts w:ascii="Arial" w:hAnsi="Arial"/>
          <w:b/>
          <w:i w:val="0"/>
          <w:color w:val="111216"/>
          <w:sz w:val="25"/>
        </w:rPr>
        <w:t>Decision event</w:t>
      </w:r>
    </w:p>
    <w:p>
      <w:pPr>
        <w:keepNext w:val="0"/>
        <w:spacing w:before="60" w:after="80" w:line="283" w:lineRule="auto"/>
      </w:pPr>
      <w:r>
        <w:rPr>
          <w:rFonts w:ascii="Arial" w:hAnsi="Arial"/>
          <w:b/>
          <w:i w:val="0"/>
          <w:color w:val="111216"/>
          <w:sz w:val="19"/>
        </w:rPr>
        <w:t xml:space="preserve">Decision to be made: </w:t>
      </w:r>
      <w:r>
        <w:rPr>
          <w:rFonts w:ascii="Arial" w:hAnsi="Arial"/>
          <w:b w:val="0"/>
          <w:i/>
          <w:color w:val="625F59"/>
          <w:sz w:val="19"/>
        </w:rPr>
        <w:t>Fund / continue / accept / renew / reshape / stop</w:t>
      </w: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p>
      <w:pPr>
        <w:keepNext w:val="0"/>
        <w:spacing w:before="60" w:after="80" w:line="283" w:lineRule="auto"/>
      </w:pPr>
      <w:r>
        <w:rPr>
          <w:rFonts w:ascii="Arial" w:hAnsi="Arial"/>
          <w:b/>
          <w:i w:val="0"/>
          <w:color w:val="111216"/>
          <w:sz w:val="19"/>
        </w:rPr>
        <w:t xml:space="preserve">Deadline and named budget or decision authority: </w:t>
      </w:r>
      <w:r>
        <w:rPr>
          <w:rFonts w:ascii="Arial" w:hAnsi="Arial"/>
          <w:b w:val="0"/>
          <w:i/>
          <w:color w:val="625F59"/>
          <w:sz w:val="19"/>
        </w:rPr>
        <w:t>Record a funded amount/range or explicit unknown</w:t>
      </w: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p>
      <w:pPr>
        <w:keepNext w:val="0"/>
        <w:spacing w:before="60" w:after="80" w:line="283" w:lineRule="auto"/>
      </w:pPr>
      <w:r>
        <w:rPr>
          <w:rFonts w:ascii="Arial" w:hAnsi="Arial"/>
          <w:b/>
          <w:i w:val="0"/>
          <w:color w:val="111216"/>
          <w:sz w:val="19"/>
        </w:rPr>
        <w:t xml:space="preserve">Economic exposure and conditions: </w:t>
      </w:r>
      <w:r>
        <w:rPr>
          <w:rFonts w:ascii="Arial" w:hAnsi="Arial"/>
          <w:b w:val="0"/>
          <w:i/>
          <w:color w:val="625F59"/>
          <w:sz w:val="19"/>
        </w:rPr>
        <w:t>What is at stake and what must be true</w:t>
      </w: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p>
      <w:pPr>
        <w:pStyle w:val="Heading2"/>
        <w:keepNext/>
        <w:pageBreakBefore w:val="0"/>
        <w:spacing w:before="260" w:after="100" w:line="252" w:lineRule="auto"/>
      </w:pPr>
      <w:r>
        <w:rPr>
          <w:rFonts w:ascii="Arial" w:hAnsi="Arial"/>
          <w:b/>
          <w:i w:val="0"/>
          <w:color w:val="111216"/>
          <w:sz w:val="25"/>
        </w:rPr>
        <w:t>Workflow boundary</w:t>
      </w:r>
    </w:p>
    <w:p>
      <w:pPr>
        <w:keepNext w:val="0"/>
        <w:spacing w:before="60" w:after="80" w:line="283" w:lineRule="auto"/>
      </w:pPr>
      <w:r>
        <w:rPr>
          <w:rFonts w:ascii="Arial" w:hAnsi="Arial"/>
          <w:b/>
          <w:i w:val="0"/>
          <w:color w:val="111216"/>
          <w:sz w:val="19"/>
        </w:rPr>
        <w:t xml:space="preserve">Trigger, eligible population, and decision or action improved: </w:t>
      </w:r>
      <w:r>
        <w:rPr>
          <w:rFonts w:ascii="Arial" w:hAnsi="Arial"/>
          <w:b w:val="0"/>
          <w:i/>
          <w:color w:val="625F59"/>
          <w:sz w:val="19"/>
        </w:rPr>
        <w:t>Keep exclusions explicit</w:t>
      </w: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p>
      <w:pPr>
        <w:keepNext w:val="0"/>
        <w:spacing w:before="60" w:after="80" w:line="283" w:lineRule="auto"/>
      </w:pPr>
      <w:r>
        <w:rPr>
          <w:rFonts w:ascii="Arial" w:hAnsi="Arial"/>
          <w:b/>
          <w:i w:val="0"/>
          <w:color w:val="111216"/>
          <w:sz w:val="19"/>
        </w:rPr>
        <w:t xml:space="preserve">Operating owner and systems of record: </w:t>
      </w:r>
      <w:r>
        <w:rPr>
          <w:rFonts w:ascii="Arial" w:hAnsi="Arial"/>
          <w:b w:val="0"/>
          <w:i/>
          <w:color w:val="625F59"/>
          <w:sz w:val="19"/>
        </w:rPr>
        <w:t>Do not infer the role</w:t>
      </w: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p>
      <w:pPr>
        <w:keepNext w:val="0"/>
        <w:spacing w:before="60" w:after="80" w:line="283" w:lineRule="auto"/>
      </w:pPr>
      <w:r>
        <w:rPr>
          <w:rFonts w:ascii="Arial" w:hAnsi="Arial"/>
          <w:b/>
          <w:i w:val="0"/>
          <w:color w:val="111216"/>
          <w:sz w:val="19"/>
        </w:rPr>
        <w:t xml:space="preserve">Current counterfactual: </w:t>
      </w:r>
      <w:r>
        <w:rPr>
          <w:rFonts w:ascii="Arial" w:hAnsi="Arial"/>
          <w:b w:val="0"/>
          <w:i/>
          <w:color w:val="625F59"/>
          <w:sz w:val="19"/>
        </w:rPr>
        <w:t>What happens without a change</w:t>
      </w: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p>
      <w:pPr>
        <w:keepNext/>
        <w:pageBreakBefore/>
        <w:spacing w:before="0" w:after="100" w:line="240" w:lineRule="auto"/>
      </w:pPr>
      <w:r>
        <w:rPr>
          <w:rFonts w:ascii="Courier New" w:hAnsi="Courier New"/>
          <w:b/>
          <w:i w:val="0"/>
          <w:color w:val="625F59"/>
          <w:sz w:val="17"/>
        </w:rPr>
        <w:t>MEASUREMENT AND ECONOMICS</w:t>
      </w:r>
    </w:p>
    <w:p>
      <w:pPr>
        <w:pStyle w:val="Heading1"/>
        <w:keepNext/>
        <w:pageBreakBefore w:val="0"/>
        <w:spacing w:before="360" w:after="140" w:line="252" w:lineRule="auto"/>
      </w:pPr>
      <w:r>
        <w:rPr>
          <w:rFonts w:ascii="Arial" w:hAnsi="Arial"/>
          <w:b/>
          <w:i w:val="0"/>
          <w:color w:val="111216"/>
          <w:sz w:val="32"/>
        </w:rPr>
        <w:t>Outcome Contract</w:t>
      </w:r>
    </w:p>
    <w:p>
      <w:pPr>
        <w:keepNext w:val="0"/>
        <w:spacing w:before="60" w:after="80" w:line="283" w:lineRule="auto"/>
      </w:pPr>
      <w:r>
        <w:rPr>
          <w:rFonts w:ascii="Arial" w:hAnsi="Arial"/>
          <w:b/>
          <w:i w:val="0"/>
          <w:color w:val="111216"/>
          <w:sz w:val="19"/>
        </w:rPr>
        <w:t xml:space="preserve">Outcome statement and status: </w:t>
      </w:r>
      <w:r>
        <w:rPr>
          <w:rFonts w:ascii="Arial" w:hAnsi="Arial"/>
          <w:b w:val="0"/>
          <w:i/>
          <w:color w:val="625F59"/>
          <w:sz w:val="19"/>
        </w:rPr>
        <w:t>Draft / proposed / accepted</w:t>
      </w: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p>
      <w:pPr>
        <w:keepNext w:val="0"/>
        <w:spacing w:before="60" w:after="80" w:line="283" w:lineRule="auto"/>
      </w:pPr>
      <w:r>
        <w:rPr>
          <w:rFonts w:ascii="Arial" w:hAnsi="Arial"/>
          <w:b/>
          <w:i w:val="0"/>
          <w:color w:val="111216"/>
          <w:sz w:val="19"/>
        </w:rPr>
        <w:t xml:space="preserve">Authority basis or explicit unknown: </w:t>
      </w:r>
      <w:r>
        <w:rPr>
          <w:rFonts w:ascii="Arial" w:hAnsi="Arial"/>
          <w:b w:val="0"/>
          <w:i/>
          <w:color w:val="625F59"/>
          <w:sz w:val="19"/>
        </w:rPr>
        <w:t>Scope, source, and limitation</w:t>
      </w: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p>
      <w:pPr>
        <w:keepNext w:val="0"/>
        <w:spacing w:before="60" w:after="80" w:line="283" w:lineRule="auto"/>
      </w:pPr>
      <w:r>
        <w:rPr>
          <w:rFonts w:ascii="Arial" w:hAnsi="Arial"/>
          <w:b/>
          <w:i w:val="0"/>
          <w:color w:val="111216"/>
          <w:sz w:val="19"/>
        </w:rPr>
        <w:t xml:space="preserve">Baseline, target, and measurement window: </w:t>
      </w:r>
      <w:r>
        <w:rPr>
          <w:rFonts w:ascii="Arial" w:hAnsi="Arial"/>
          <w:b w:val="0"/>
          <w:i/>
          <w:color w:val="625F59"/>
          <w:sz w:val="19"/>
        </w:rPr>
        <w:t>Include source and attribution limits</w:t>
      </w: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2500"/>
        <w:gridCol w:w="2560"/>
        <w:gridCol w:w="2520"/>
      </w:tblGrid>
      <w:tr>
        <w:trPr>
          <w:tblHeader w:val="true"/>
        </w:trPr>
        <w:tc>
          <w:tcPr>
            <w:tcW w:type="dxa" w:w="25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F3F1ED"/>
          </w:tcPr>
          <w:p>
            <w:pPr>
              <w:keepNext w:val="0"/>
              <w:spacing w:before="0" w:after="0" w:line="240" w:lineRule="auto"/>
            </w:pPr>
            <w:r/>
            <w:r>
              <w:rPr>
                <w:rFonts w:ascii="Courier New" w:hAnsi="Courier New"/>
                <w:b/>
                <w:i w:val="0"/>
                <w:color w:val="625F59"/>
                <w:sz w:val="16"/>
              </w:rPr>
              <w:t>Metric owner</w:t>
            </w:r>
          </w:p>
        </w:tc>
        <w:tc>
          <w:tcPr>
            <w:tcW w:type="dxa" w:w="25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F3F1ED"/>
          </w:tcPr>
          <w:p>
            <w:pPr>
              <w:keepNext w:val="0"/>
              <w:spacing w:before="0" w:after="0" w:line="240" w:lineRule="auto"/>
            </w:pPr>
            <w:r/>
            <w:r>
              <w:rPr>
                <w:rFonts w:ascii="Courier New" w:hAnsi="Courier New"/>
                <w:b/>
                <w:i w:val="0"/>
                <w:color w:val="625F59"/>
                <w:sz w:val="16"/>
              </w:rPr>
              <w:t>Independent verifier</w:t>
            </w:r>
          </w:p>
        </w:tc>
        <w:tc>
          <w:tcPr>
            <w:tcW w:type="dxa" w:w="2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F3F1ED"/>
          </w:tcPr>
          <w:p>
            <w:pPr>
              <w:keepNext w:val="0"/>
              <w:spacing w:before="0" w:after="0" w:line="240" w:lineRule="auto"/>
            </w:pPr>
            <w:r/>
            <w:r>
              <w:rPr>
                <w:rFonts w:ascii="Courier New" w:hAnsi="Courier New"/>
                <w:b/>
                <w:i w:val="0"/>
                <w:color w:val="625F59"/>
                <w:sz w:val="16"/>
              </w:rPr>
              <w:t>Adoption / operating indicator</w:t>
            </w:r>
          </w:p>
        </w:tc>
        <w:tc>
          <w:tcPr>
            <w:tcW w:type="dxa" w:w="25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F3F1ED"/>
          </w:tcPr>
          <w:p>
            <w:pPr>
              <w:keepNext w:val="0"/>
              <w:spacing w:before="0" w:after="0" w:line="240" w:lineRule="auto"/>
            </w:pPr>
            <w:r/>
            <w:r>
              <w:rPr>
                <w:rFonts w:ascii="Courier New" w:hAnsi="Courier New"/>
                <w:b/>
                <w:i w:val="0"/>
                <w:color w:val="625F59"/>
                <w:sz w:val="16"/>
              </w:rPr>
              <w:t>Decision threshold</w:t>
            </w:r>
          </w:p>
        </w:tc>
      </w:tr>
      <w:tr>
        <w:tc>
          <w:tcPr>
            <w:tcW w:type="dxa" w:w="25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25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2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25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</w:tr>
      <w:tr>
        <w:tc>
          <w:tcPr>
            <w:tcW w:type="dxa" w:w="25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25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2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25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</w:tr>
    </w:tbl>
    <w:p>
      <w:pPr>
        <w:spacing w:after="60"/>
      </w:pPr>
    </w:p>
    <w:p>
      <w:pPr>
        <w:keepNext w:val="0"/>
        <w:spacing w:before="60" w:after="80" w:line="283" w:lineRule="auto"/>
      </w:pPr>
      <w:r>
        <w:rPr>
          <w:rFonts w:ascii="Arial" w:hAnsi="Arial"/>
          <w:b/>
          <w:i w:val="0"/>
          <w:color w:val="111216"/>
          <w:sz w:val="19"/>
        </w:rPr>
        <w:t xml:space="preserve">Transfer or exit condition: </w:t>
      </w:r>
      <w:r>
        <w:rPr>
          <w:rFonts w:ascii="Arial" w:hAnsi="Arial"/>
          <w:b w:val="0"/>
          <w:i/>
          <w:color w:val="625F59"/>
          <w:sz w:val="19"/>
        </w:rPr>
        <w:t>A desired contract field; not proof of a completed handoff</w:t>
      </w: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p>
      <w:pPr>
        <w:pStyle w:val="Heading2"/>
        <w:keepNext/>
        <w:pageBreakBefore w:val="0"/>
        <w:spacing w:before="260" w:after="100" w:line="252" w:lineRule="auto"/>
      </w:pPr>
      <w:r>
        <w:rPr>
          <w:rFonts w:ascii="Arial" w:hAnsi="Arial"/>
          <w:b/>
          <w:i w:val="0"/>
          <w:color w:val="111216"/>
          <w:sz w:val="25"/>
        </w:rPr>
        <w:t>Complete cost basis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540"/>
        <w:gridCol w:w="1460"/>
        <w:gridCol w:w="1460"/>
        <w:gridCol w:w="3000"/>
        <w:gridCol w:w="1620"/>
      </w:tblGrid>
      <w:tr>
        <w:trPr>
          <w:tblHeader w:val="true"/>
        </w:trPr>
        <w:tc>
          <w:tcPr>
            <w:tcW w:type="dxa" w:w="25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F3F1ED"/>
          </w:tcPr>
          <w:p>
            <w:pPr>
              <w:keepNext w:val="0"/>
              <w:spacing w:before="0" w:after="0" w:line="240" w:lineRule="auto"/>
            </w:pPr>
            <w:r/>
            <w:r>
              <w:rPr>
                <w:rFonts w:ascii="Courier New" w:hAnsi="Courier New"/>
                <w:b/>
                <w:i w:val="0"/>
                <w:color w:val="625F59"/>
                <w:sz w:val="16"/>
              </w:rPr>
              <w:t>Cost class</w:t>
            </w:r>
          </w:p>
        </w:tc>
        <w:tc>
          <w:tcPr>
            <w:tcW w:type="dxa" w:w="14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F3F1ED"/>
          </w:tcPr>
          <w:p>
            <w:pPr>
              <w:keepNext w:val="0"/>
              <w:spacing w:before="0" w:after="0" w:line="240" w:lineRule="auto"/>
            </w:pPr>
            <w:r/>
            <w:r>
              <w:rPr>
                <w:rFonts w:ascii="Courier New" w:hAnsi="Courier New"/>
                <w:b/>
                <w:i w:val="0"/>
                <w:color w:val="625F59"/>
                <w:sz w:val="16"/>
              </w:rPr>
              <w:t>One-time</w:t>
            </w:r>
          </w:p>
        </w:tc>
        <w:tc>
          <w:tcPr>
            <w:tcW w:type="dxa" w:w="14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F3F1ED"/>
          </w:tcPr>
          <w:p>
            <w:pPr>
              <w:keepNext w:val="0"/>
              <w:spacing w:before="0" w:after="0" w:line="240" w:lineRule="auto"/>
            </w:pPr>
            <w:r/>
            <w:r>
              <w:rPr>
                <w:rFonts w:ascii="Courier New" w:hAnsi="Courier New"/>
                <w:b/>
                <w:i w:val="0"/>
                <w:color w:val="625F59"/>
                <w:sz w:val="16"/>
              </w:rPr>
              <w:t>Recurring</w:t>
            </w:r>
          </w:p>
        </w:tc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F3F1ED"/>
          </w:tcPr>
          <w:p>
            <w:pPr>
              <w:keepNext w:val="0"/>
              <w:spacing w:before="0" w:after="0" w:line="240" w:lineRule="auto"/>
            </w:pPr>
            <w:r/>
            <w:r>
              <w:rPr>
                <w:rFonts w:ascii="Courier New" w:hAnsi="Courier New"/>
                <w:b/>
                <w:i w:val="0"/>
                <w:color w:val="625F59"/>
                <w:sz w:val="16"/>
              </w:rPr>
              <w:t>Evidence or assumption</w:t>
            </w:r>
          </w:p>
        </w:tc>
        <w:tc>
          <w:tcPr>
            <w:tcW w:type="dxa" w:w="16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F3F1ED"/>
          </w:tcPr>
          <w:p>
            <w:pPr>
              <w:keepNext w:val="0"/>
              <w:spacing w:before="0" w:after="0" w:line="240" w:lineRule="auto"/>
            </w:pPr>
            <w:r/>
            <w:r>
              <w:rPr>
                <w:rFonts w:ascii="Courier New" w:hAnsi="Courier New"/>
                <w:b/>
                <w:i w:val="0"/>
                <w:color w:val="625F59"/>
                <w:sz w:val="16"/>
              </w:rPr>
              <w:t>Sensitivity</w:t>
            </w:r>
          </w:p>
        </w:tc>
      </w:tr>
      <w:tr>
        <w:tc>
          <w:tcPr>
            <w:tcW w:type="dxa" w:w="25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  <w:r>
              <w:rPr>
                <w:rFonts w:ascii="Arial" w:hAnsi="Arial"/>
                <w:b w:val="0"/>
                <w:i/>
                <w:color w:val="8D8982"/>
                <w:sz w:val="18"/>
              </w:rPr>
              <w:t>Model and infrastructure</w:t>
            </w:r>
          </w:p>
        </w:tc>
        <w:tc>
          <w:tcPr>
            <w:tcW w:type="dxa" w:w="14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14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16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</w:tr>
      <w:tr>
        <w:tc>
          <w:tcPr>
            <w:tcW w:type="dxa" w:w="25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  <w:r>
              <w:rPr>
                <w:rFonts w:ascii="Arial" w:hAnsi="Arial"/>
                <w:b w:val="0"/>
                <w:i/>
                <w:color w:val="8D8982"/>
                <w:sz w:val="18"/>
              </w:rPr>
              <w:t>Integration and data preparation</w:t>
            </w:r>
          </w:p>
        </w:tc>
        <w:tc>
          <w:tcPr>
            <w:tcW w:type="dxa" w:w="14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14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16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</w:tr>
      <w:tr>
        <w:tc>
          <w:tcPr>
            <w:tcW w:type="dxa" w:w="25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  <w:r>
              <w:rPr>
                <w:rFonts w:ascii="Arial" w:hAnsi="Arial"/>
                <w:b w:val="0"/>
                <w:i/>
                <w:color w:val="8D8982"/>
                <w:sz w:val="18"/>
              </w:rPr>
              <w:t>Human review and exceptions</w:t>
            </w:r>
          </w:p>
        </w:tc>
        <w:tc>
          <w:tcPr>
            <w:tcW w:type="dxa" w:w="14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14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16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</w:tr>
      <w:tr>
        <w:tc>
          <w:tcPr>
            <w:tcW w:type="dxa" w:w="25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  <w:r>
              <w:rPr>
                <w:rFonts w:ascii="Arial" w:hAnsi="Arial"/>
                <w:b w:val="0"/>
                <w:i/>
                <w:color w:val="8D8982"/>
                <w:sz w:val="18"/>
              </w:rPr>
              <w:t>Evaluation, security, and compliance</w:t>
            </w:r>
          </w:p>
        </w:tc>
        <w:tc>
          <w:tcPr>
            <w:tcW w:type="dxa" w:w="14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14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16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</w:tr>
      <w:tr>
        <w:tc>
          <w:tcPr>
            <w:tcW w:type="dxa" w:w="25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  <w:r>
              <w:rPr>
                <w:rFonts w:ascii="Arial" w:hAnsi="Arial"/>
                <w:b w:val="0"/>
                <w:i/>
                <w:color w:val="8D8982"/>
                <w:sz w:val="18"/>
              </w:rPr>
              <w:t>Support, incidents, and change</w:t>
            </w:r>
          </w:p>
        </w:tc>
        <w:tc>
          <w:tcPr>
            <w:tcW w:type="dxa" w:w="14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14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16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</w:tr>
    </w:tbl>
    <w:p>
      <w:pPr>
        <w:spacing w:after="60"/>
      </w:pPr>
    </w:p>
    <w:p>
      <w:pPr>
        <w:keepNext/>
        <w:pageBreakBefore/>
        <w:spacing w:before="0" w:after="100" w:line="240" w:lineRule="auto"/>
      </w:pPr>
      <w:r>
        <w:rPr>
          <w:rFonts w:ascii="Courier New" w:hAnsi="Courier New"/>
          <w:b/>
          <w:i w:val="0"/>
          <w:color w:val="625F59"/>
          <w:sz w:val="17"/>
        </w:rPr>
        <w:t>HARD GATES, NOT A SCORE</w:t>
      </w:r>
    </w:p>
    <w:p>
      <w:pPr>
        <w:pStyle w:val="Heading1"/>
        <w:keepNext/>
        <w:pageBreakBefore w:val="0"/>
        <w:spacing w:before="360" w:after="140" w:line="252" w:lineRule="auto"/>
      </w:pPr>
      <w:r>
        <w:rPr>
          <w:rFonts w:ascii="Arial" w:hAnsi="Arial"/>
          <w:b/>
          <w:i w:val="0"/>
          <w:color w:val="111216"/>
          <w:sz w:val="32"/>
        </w:rPr>
        <w:t>Four constraint gates</w:t>
      </w:r>
    </w:p>
    <w:p>
      <w:pPr>
        <w:keepNext w:val="0"/>
        <w:spacing w:before="0" w:after="120" w:line="300" w:lineRule="auto"/>
      </w:pPr>
      <w:r>
        <w:rPr>
          <w:rFonts w:ascii="Arial" w:hAnsi="Arial"/>
          <w:b w:val="0"/>
          <w:i w:val="0"/>
          <w:color w:val="625F59"/>
          <w:sz w:val="21"/>
        </w:rPr>
        <w:t>Assess each dimension as satisfied, blocking, unknown, or not applicable. Do not average them into a maturity score.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640"/>
        <w:gridCol w:w="1480"/>
        <w:gridCol w:w="2220"/>
        <w:gridCol w:w="2620"/>
        <w:gridCol w:w="2120"/>
      </w:tblGrid>
      <w:tr>
        <w:trPr>
          <w:tblHeader w:val="true"/>
        </w:trPr>
        <w:tc>
          <w:tcPr>
            <w:tcW w:type="dxa" w:w="16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F3F1ED"/>
          </w:tcPr>
          <w:p>
            <w:pPr>
              <w:keepNext w:val="0"/>
              <w:spacing w:before="0" w:after="0" w:line="240" w:lineRule="auto"/>
            </w:pPr>
            <w:r/>
            <w:r>
              <w:rPr>
                <w:rFonts w:ascii="Courier New" w:hAnsi="Courier New"/>
                <w:b/>
                <w:i w:val="0"/>
                <w:color w:val="625F59"/>
                <w:sz w:val="16"/>
              </w:rPr>
              <w:t>Dimension</w:t>
            </w:r>
          </w:p>
        </w:tc>
        <w:tc>
          <w:tcPr>
            <w:tcW w:type="dxa" w:w="14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F3F1ED"/>
          </w:tcPr>
          <w:p>
            <w:pPr>
              <w:keepNext w:val="0"/>
              <w:spacing w:before="0" w:after="0" w:line="240" w:lineRule="auto"/>
            </w:pPr>
            <w:r/>
            <w:r>
              <w:rPr>
                <w:rFonts w:ascii="Courier New" w:hAnsi="Courier New"/>
                <w:b/>
                <w:i w:val="0"/>
                <w:color w:val="625F59"/>
                <w:sz w:val="16"/>
              </w:rPr>
              <w:t>Status</w:t>
            </w:r>
          </w:p>
        </w:tc>
        <w:tc>
          <w:tcPr>
            <w:tcW w:type="dxa" w:w="22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F3F1ED"/>
          </w:tcPr>
          <w:p>
            <w:pPr>
              <w:keepNext w:val="0"/>
              <w:spacing w:before="0" w:after="0" w:line="240" w:lineRule="auto"/>
            </w:pPr>
            <w:r/>
            <w:r>
              <w:rPr>
                <w:rFonts w:ascii="Courier New" w:hAnsi="Courier New"/>
                <w:b/>
                <w:i w:val="0"/>
                <w:color w:val="625F59"/>
                <w:sz w:val="16"/>
              </w:rPr>
              <w:t>Requirement or claim</w:t>
            </w:r>
          </w:p>
        </w:tc>
        <w:tc>
          <w:tcPr>
            <w:tcW w:type="dxa" w:w="26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F3F1ED"/>
          </w:tcPr>
          <w:p>
            <w:pPr>
              <w:keepNext w:val="0"/>
              <w:spacing w:before="0" w:after="0" w:line="240" w:lineRule="auto"/>
            </w:pPr>
            <w:r/>
            <w:r>
              <w:rPr>
                <w:rFonts w:ascii="Courier New" w:hAnsi="Courier New"/>
                <w:b/>
                <w:i w:val="0"/>
                <w:color w:val="625F59"/>
                <w:sz w:val="16"/>
              </w:rPr>
              <w:t>Evidence and limitation</w:t>
            </w:r>
          </w:p>
        </w:tc>
        <w:tc>
          <w:tcPr>
            <w:tcW w:type="dxa" w:w="2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F3F1ED"/>
          </w:tcPr>
          <w:p>
            <w:pPr>
              <w:keepNext w:val="0"/>
              <w:spacing w:before="0" w:after="0" w:line="240" w:lineRule="auto"/>
            </w:pPr>
            <w:r/>
            <w:r>
              <w:rPr>
                <w:rFonts w:ascii="Courier New" w:hAnsi="Courier New"/>
                <w:b/>
                <w:i w:val="0"/>
                <w:color w:val="625F59"/>
                <w:sz w:val="16"/>
              </w:rPr>
              <w:t>Next move / owner</w:t>
            </w:r>
          </w:p>
        </w:tc>
      </w:tr>
      <w:tr>
        <w:tc>
          <w:tcPr>
            <w:tcW w:type="dxa" w:w="16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  <w:r>
              <w:rPr>
                <w:rFonts w:ascii="Arial" w:hAnsi="Arial"/>
                <w:b w:val="0"/>
                <w:i/>
                <w:color w:val="8D8982"/>
                <w:sz w:val="18"/>
              </w:rPr>
              <w:t>Data</w:t>
            </w:r>
          </w:p>
        </w:tc>
        <w:tc>
          <w:tcPr>
            <w:tcW w:type="dxa" w:w="14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22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26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2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</w:tr>
      <w:tr>
        <w:tc>
          <w:tcPr>
            <w:tcW w:type="dxa" w:w="16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  <w:r>
              <w:rPr>
                <w:rFonts w:ascii="Arial" w:hAnsi="Arial"/>
                <w:b w:val="0"/>
                <w:i/>
                <w:color w:val="8D8982"/>
                <w:sz w:val="18"/>
              </w:rPr>
              <w:t>Process</w:t>
            </w:r>
          </w:p>
        </w:tc>
        <w:tc>
          <w:tcPr>
            <w:tcW w:type="dxa" w:w="14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22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26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2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</w:tr>
      <w:tr>
        <w:tc>
          <w:tcPr>
            <w:tcW w:type="dxa" w:w="16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  <w:r>
              <w:rPr>
                <w:rFonts w:ascii="Arial" w:hAnsi="Arial"/>
                <w:b w:val="0"/>
                <w:i/>
                <w:color w:val="8D8982"/>
                <w:sz w:val="18"/>
              </w:rPr>
              <w:t>Governance</w:t>
            </w:r>
          </w:p>
        </w:tc>
        <w:tc>
          <w:tcPr>
            <w:tcW w:type="dxa" w:w="14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22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26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2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</w:tr>
      <w:tr>
        <w:tc>
          <w:tcPr>
            <w:tcW w:type="dxa" w:w="16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  <w:r>
              <w:rPr>
                <w:rFonts w:ascii="Arial" w:hAnsi="Arial"/>
                <w:b w:val="0"/>
                <w:i/>
                <w:color w:val="8D8982"/>
                <w:sz w:val="18"/>
              </w:rPr>
              <w:t>Accountable capability</w:t>
            </w:r>
          </w:p>
        </w:tc>
        <w:tc>
          <w:tcPr>
            <w:tcW w:type="dxa" w:w="14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22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26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2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</w:tr>
    </w:tbl>
    <w:p>
      <w:pPr>
        <w:spacing w:after="60"/>
      </w:pP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180"/>
        <w:gridCol w:w="8900"/>
      </w:tblGrid>
      <w:tr>
        <w:tc>
          <w:tcPr>
            <w:tcW w:type="dxa" w:w="11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F3F1ED"/>
          </w:tcPr>
          <w:p>
            <w:pPr>
              <w:keepNext w:val="0"/>
              <w:spacing w:before="0" w:after="0" w:line="240" w:lineRule="auto"/>
            </w:pPr>
            <w:r/>
            <w:r>
              <w:rPr>
                <w:rFonts w:ascii="Courier New" w:hAnsi="Courier New"/>
                <w:b/>
                <w:i w:val="0"/>
                <w:color w:val="625F59"/>
                <w:sz w:val="16"/>
              </w:rPr>
              <w:t>N/A</w:t>
            </w:r>
          </w:p>
        </w:tc>
        <w:tc>
          <w:tcPr>
            <w:tcW w:type="dxa" w:w="8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F3F1ED"/>
          </w:tcPr>
          <w:p>
            <w:pPr>
              <w:keepNext w:val="0"/>
              <w:spacing w:before="0" w:after="0" w:line="283" w:lineRule="auto"/>
            </w:pPr>
            <w:r/>
            <w:r>
              <w:rPr>
                <w:rFonts w:ascii="Arial" w:hAnsi="Arial"/>
                <w:b w:val="0"/>
                <w:i w:val="0"/>
                <w:color w:val="111216"/>
                <w:sz w:val="19"/>
              </w:rPr>
              <w:t>Not applicable requires a rationale and an independent verifier. A required blocking or unknown gate prevents bounded kickoff, not continued discovery.</w:t>
            </w:r>
          </w:p>
        </w:tc>
      </w:tr>
    </w:tbl>
    <w:p>
      <w:pPr>
        <w:spacing w:after="40"/>
      </w:pPr>
    </w:p>
    <w:p>
      <w:pPr>
        <w:pStyle w:val="Heading2"/>
        <w:keepNext/>
        <w:pageBreakBefore w:val="0"/>
        <w:spacing w:before="260" w:after="100" w:line="252" w:lineRule="auto"/>
      </w:pPr>
      <w:r>
        <w:rPr>
          <w:rFonts w:ascii="Arial" w:hAnsi="Arial"/>
          <w:b/>
          <w:i w:val="0"/>
          <w:color w:val="111216"/>
          <w:sz w:val="25"/>
        </w:rPr>
        <w:t>Decision</w:t>
      </w:r>
    </w:p>
    <w:p>
      <w:pPr>
        <w:keepNext w:val="0"/>
        <w:spacing w:before="60" w:after="80" w:line="283" w:lineRule="auto"/>
      </w:pPr>
      <w:r>
        <w:rPr>
          <w:rFonts w:ascii="Arial" w:hAnsi="Arial"/>
          <w:b/>
          <w:i w:val="0"/>
          <w:color w:val="111216"/>
          <w:sz w:val="19"/>
        </w:rPr>
        <w:t xml:space="preserve">Discover / build / bounded kickoff / defer / stop: </w:t>
      </w:r>
      <w:r>
        <w:rPr>
          <w:rFonts w:ascii="Arial" w:hAnsi="Arial"/>
          <w:b w:val="0"/>
          <w:i/>
          <w:color w:val="625F59"/>
          <w:sz w:val="19"/>
        </w:rPr>
        <w:t>Cite evidence and highest-impact blocker or unknown</w:t>
      </w: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p>
      <w:pPr>
        <w:keepNext w:val="0"/>
        <w:spacing w:before="60" w:after="80" w:line="283" w:lineRule="auto"/>
      </w:pPr>
      <w:r>
        <w:rPr>
          <w:rFonts w:ascii="Arial" w:hAnsi="Arial"/>
          <w:b/>
          <w:i w:val="0"/>
          <w:color w:val="111216"/>
          <w:sz w:val="19"/>
        </w:rPr>
        <w:t xml:space="preserve">Next field move, owner, and review date: </w:t>
      </w:r>
      <w:r>
        <w:rPr>
          <w:rFonts w:ascii="Arial" w:hAnsi="Arial"/>
          <w:b w:val="0"/>
          <w:i/>
          <w:color w:val="625F59"/>
          <w:sz w:val="19"/>
        </w:rPr>
        <w:t>Choose one: validate person / observe case / resolve conflict</w:t>
      </w: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1080" w:right="1080" w:bottom="1080" w:left="1080" w:header="518" w:footer="51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0080"/>
      <w:jc w:val="left"/>
      <w:tblLayout w:type="fixed"/>
      <w:tblLook w:firstColumn="1" w:firstRow="1" w:lastColumn="0" w:lastRow="0" w:noHBand="0" w:noVBand="1" w:val="04A0"/>
      <w:tblInd w:w="120" w:type="dxa"/>
    </w:tblPr>
    <w:tblGrid>
      <w:gridCol w:w="7560"/>
      <w:gridCol w:w="2520"/>
    </w:tblGrid>
    <w:tr>
      <w:tc>
        <w:tcPr>
          <w:tcW w:type="dxa" w:w="7560"/>
          <w:tcMar>
            <w:top w:w="90" w:type="dxa"/>
            <w:start w:w="120" w:type="dxa"/>
            <w:bottom w:w="90" w:type="dxa"/>
            <w:end w:w="120" w:type="dxa"/>
          </w:tcMar>
          <w:vAlign w:val="center"/>
          <w:tcBorders>
            <w:top w:val="single" w:sz="8" w:space="0" w:color="E4E0D9"/>
            <w:bottom w:val="single" w:sz="8" w:space="0" w:color="E4E0D9"/>
            <w:left w:val="single" w:sz="8" w:space="0" w:color="E4E0D9"/>
            <w:right w:val="single" w:sz="8" w:space="0" w:color="E4E0D9"/>
          </w:tcBorders>
        </w:tcPr>
        <w:p>
          <w:pPr>
            <w:keepNext w:val="0"/>
            <w:spacing w:before="0" w:after="0" w:line="240" w:lineRule="auto"/>
          </w:pPr>
          <w:r/>
          <w:r>
            <w:rPr>
              <w:rFonts w:ascii="Arial" w:hAnsi="Arial"/>
              <w:b w:val="0"/>
              <w:i w:val="0"/>
              <w:color w:val="625F59"/>
              <w:sz w:val="16"/>
            </w:rPr>
            <w:t>Lumyn FDE School  |  Fieldwork first. Systems second. Evidence throughout.</w:t>
          </w:r>
        </w:p>
      </w:tc>
      <w:tc>
        <w:tcPr>
          <w:tcW w:type="dxa" w:w="2520"/>
          <w:tcMar>
            <w:top w:w="90" w:type="dxa"/>
            <w:start w:w="120" w:type="dxa"/>
            <w:bottom w:w="90" w:type="dxa"/>
            <w:end w:w="120" w:type="dxa"/>
          </w:tcMar>
          <w:vAlign w:val="center"/>
          <w:tcBorders>
            <w:top w:val="single" w:sz="8" w:space="0" w:color="E4E0D9"/>
            <w:bottom w:val="single" w:sz="8" w:space="0" w:color="E4E0D9"/>
            <w:left w:val="single" w:sz="8" w:space="0" w:color="E4E0D9"/>
            <w:right w:val="single" w:sz="8" w:space="0" w:color="E4E0D9"/>
          </w:tcBorders>
        </w:tcPr>
        <w:p>
          <w:pPr>
            <w:keepNext w:val="0"/>
            <w:spacing w:before="0" w:after="0" w:line="240" w:lineRule="auto"/>
            <w:jc w:val="right"/>
          </w:pPr>
          <w:r/>
          <w:r>
            <w:rPr>
              <w:rFonts w:ascii="Arial" w:hAnsi="Arial"/>
              <w:b w:val="0"/>
              <w:i w:val="0"/>
              <w:color w:val="625F59"/>
              <w:sz w:val="16"/>
            </w:rPr>
            <w:t>Not a certification or approval</w:t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dxa" w:w="10080"/>
      <w:jc w:val="left"/>
      <w:tblLayout w:type="fixed"/>
      <w:tblLook w:firstColumn="1" w:firstRow="1" w:lastColumn="0" w:lastRow="0" w:noHBand="0" w:noVBand="1" w:val="04A0"/>
      <w:tblInd w:w="120" w:type="dxa"/>
    </w:tblPr>
    <w:tblGrid>
      <w:gridCol w:w="1780"/>
      <w:gridCol w:w="8300"/>
    </w:tblGrid>
    <w:tr>
      <w:tc>
        <w:tcPr>
          <w:tcW w:type="dxa" w:w="1780"/>
          <w:tcMar>
            <w:top w:w="90" w:type="dxa"/>
            <w:start w:w="120" w:type="dxa"/>
            <w:bottom w:w="90" w:type="dxa"/>
            <w:end w:w="120" w:type="dxa"/>
          </w:tcMar>
          <w:vAlign w:val="center"/>
          <w:tcBorders>
            <w:top w:val="single" w:sz="8" w:space="0" w:color="E4E0D9"/>
            <w:bottom w:val="single" w:sz="8" w:space="0" w:color="E4E0D9"/>
            <w:left w:val="single" w:sz="8" w:space="0" w:color="E4E0D9"/>
            <w:right w:val="single" w:sz="8" w:space="0" w:color="E4E0D9"/>
          </w:tcBorders>
          <w:shd w:fill="244CFF"/>
        </w:tcPr>
        <w:p>
          <w:pPr>
            <w:keepNext w:val="0"/>
            <w:spacing w:before="0" w:after="0" w:line="240" w:lineRule="auto"/>
            <w:jc w:val="center"/>
          </w:pPr>
          <w:r/>
          <w:r>
            <w:rPr>
              <w:rFonts w:ascii="Arial" w:hAnsi="Arial"/>
              <w:b/>
              <w:i w:val="0"/>
              <w:color w:val="FFFFFF"/>
              <w:sz w:val="24"/>
            </w:rPr>
            <w:t>L</w:t>
          </w:r>
        </w:p>
      </w:tc>
      <w:tc>
        <w:tcPr>
          <w:tcW w:type="dxa" w:w="8300"/>
          <w:tcMar>
            <w:top w:w="90" w:type="dxa"/>
            <w:start w:w="120" w:type="dxa"/>
            <w:bottom w:w="90" w:type="dxa"/>
            <w:end w:w="120" w:type="dxa"/>
          </w:tcMar>
          <w:vAlign w:val="center"/>
          <w:tcBorders>
            <w:top w:val="single" w:sz="8" w:space="0" w:color="E4E0D9"/>
            <w:bottom w:val="single" w:sz="8" w:space="0" w:color="E4E0D9"/>
            <w:left w:val="single" w:sz="8" w:space="0" w:color="E4E0D9"/>
            <w:right w:val="single" w:sz="8" w:space="0" w:color="E4E0D9"/>
          </w:tcBorders>
          <w:shd w:fill="FAFAF7"/>
        </w:tcPr>
        <w:p>
          <w:pPr>
            <w:keepNext w:val="0"/>
            <w:spacing w:before="0" w:after="0" w:line="240" w:lineRule="auto"/>
            <w:jc w:val="right"/>
          </w:pPr>
          <w:r/>
          <w:r>
            <w:rPr>
              <w:rFonts w:ascii="Courier New" w:hAnsi="Courier New"/>
              <w:b/>
              <w:i w:val="0"/>
              <w:color w:val="625F59"/>
              <w:sz w:val="17"/>
            </w:rPr>
            <w:t>LUMYN FDE SCHOOL  /  WORKING TEMPLATE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Arial" w:hAnsi="Arial"/>
      <w:color w:val="111216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Workflow charter and value case</dc:title>
  <dc:subject>Outcome, economics, and constraints workbook</dc:subject>
  <dc:creator>Lumyn FDE School</dc:creator>
  <cp:keywords>FDE, applied AI, fieldwork, evidence, delivery</cp:keywords>
  <dc:description>Editable learner workbook. Not a certification, customer approval, or production release.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